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E103B">
      <w:pPr>
        <w:spacing w:line="480" w:lineRule="exact"/>
        <w:jc w:val="left"/>
        <w:rPr>
          <w:rFonts w:ascii="方正仿宋_GBK" w:eastAsia="方正仿宋_GBK"/>
          <w:b/>
          <w:color w:val="000000" w:themeColor="text1"/>
          <w:sz w:val="24"/>
          <w:szCs w:val="24"/>
          <w14:textFill>
            <w14:solidFill>
              <w14:schemeClr w14:val="tx1"/>
            </w14:solidFill>
          </w14:textFill>
        </w:rPr>
      </w:pPr>
      <w:r>
        <w:rPr>
          <w:rFonts w:hint="eastAsia" w:ascii="方正仿宋_GBK" w:eastAsia="方正仿宋_GBK"/>
          <w:b/>
          <w:color w:val="000000" w:themeColor="text1"/>
          <w:sz w:val="24"/>
          <w:szCs w:val="24"/>
          <w14:textFill>
            <w14:solidFill>
              <w14:schemeClr w14:val="tx1"/>
            </w14:solidFill>
          </w14:textFill>
        </w:rPr>
        <w:t>附件</w:t>
      </w:r>
      <w:r>
        <w:rPr>
          <w:rFonts w:hint="eastAsia" w:ascii="方正仿宋_GBK" w:eastAsia="方正仿宋_GBK"/>
          <w:b/>
          <w:color w:val="000000" w:themeColor="text1"/>
          <w:sz w:val="24"/>
          <w:szCs w:val="24"/>
          <w:lang w:val="en-US" w:eastAsia="zh-CN"/>
          <w14:textFill>
            <w14:solidFill>
              <w14:schemeClr w14:val="tx1"/>
            </w14:solidFill>
          </w14:textFill>
        </w:rPr>
        <w:t>1</w:t>
      </w:r>
      <w:r>
        <w:rPr>
          <w:rFonts w:hint="eastAsia" w:ascii="方正仿宋_GBK" w:eastAsia="方正仿宋_GBK"/>
          <w:b/>
          <w:color w:val="000000" w:themeColor="text1"/>
          <w:sz w:val="24"/>
          <w:szCs w:val="24"/>
          <w14:textFill>
            <w14:solidFill>
              <w14:schemeClr w14:val="tx1"/>
            </w14:solidFill>
          </w14:textFill>
        </w:rPr>
        <w:t>：</w:t>
      </w:r>
      <w:bookmarkStart w:id="0" w:name="_GoBack"/>
      <w:bookmarkEnd w:id="0"/>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1"/>
        <w:gridCol w:w="3575"/>
        <w:gridCol w:w="754"/>
        <w:gridCol w:w="779"/>
        <w:gridCol w:w="5137"/>
        <w:gridCol w:w="2818"/>
      </w:tblGrid>
      <w:tr w14:paraId="1F227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6"/>
            <w:tcBorders>
              <w:top w:val="nil"/>
              <w:left w:val="nil"/>
              <w:bottom w:val="nil"/>
              <w:right w:val="nil"/>
            </w:tcBorders>
            <w:shd w:val="clear" w:color="auto" w:fill="auto"/>
            <w:vAlign w:val="center"/>
          </w:tcPr>
          <w:p w14:paraId="7F055F55">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_GBK" w:eastAsia="方正小标宋_GBK"/>
                <w:bCs/>
                <w:color w:val="000000" w:themeColor="text1"/>
                <w:sz w:val="36"/>
                <w:szCs w:val="36"/>
                <w14:textFill>
                  <w14:solidFill>
                    <w14:schemeClr w14:val="tx1"/>
                  </w14:solidFill>
                </w14:textFill>
              </w:rPr>
              <w:t>巢湖学院学科年度绩效评价考评指标</w:t>
            </w:r>
          </w:p>
        </w:tc>
      </w:tr>
      <w:tr w14:paraId="7C8A0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7E5EBF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一级</w:t>
            </w:r>
          </w:p>
          <w:p w14:paraId="211826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指标</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075C7B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二级指标</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964A6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数据单位</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19D2E1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分值</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5FCBAF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评分标准</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7F7BBB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支撑材料</w:t>
            </w:r>
          </w:p>
        </w:tc>
      </w:tr>
      <w:tr w14:paraId="6DEB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72AE9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科研经费到账情况（25分）</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489B36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按照所依托学院的年度科研到账经费情况开展年度绩效考评，经费到账情况较好的给予年度考评加分，其中科研到账经费不足年度目标任务的50%，年度考核为不合格。</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55DC0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186312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1258CA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年度科研到账经费100%以上得满分；到账90%-100%加20分；到账80%-90%加15分；到账70%-80%加10分；到账50%-70%加5分。</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576822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提供经费到账证明。</w:t>
            </w:r>
          </w:p>
        </w:tc>
      </w:tr>
      <w:tr w14:paraId="3E2C8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D2C3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立德树人(18分)</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5C98D0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b/>
                <w:bCs/>
                <w:i w:val="0"/>
                <w:iCs w:val="0"/>
                <w:color w:val="000000"/>
                <w:kern w:val="0"/>
                <w:sz w:val="21"/>
                <w:szCs w:val="21"/>
                <w:u w:val="none"/>
                <w:lang w:val="en-US" w:eastAsia="zh-CN" w:bidi="ar"/>
              </w:rPr>
              <w:t>核心指标：</w:t>
            </w:r>
            <w:r>
              <w:rPr>
                <w:rFonts w:hint="eastAsia" w:ascii="方正仿宋_GBK" w:hAnsi="方正仿宋_GBK" w:eastAsia="方正仿宋_GBK" w:cs="方正仿宋_GBK"/>
                <w:i w:val="0"/>
                <w:iCs w:val="0"/>
                <w:color w:val="000000"/>
                <w:kern w:val="0"/>
                <w:sz w:val="21"/>
                <w:szCs w:val="21"/>
                <w:u w:val="none"/>
                <w:lang w:val="en-US" w:eastAsia="zh-CN" w:bidi="ar"/>
              </w:rPr>
              <w:t>国家级教学成果奖、全国教材奖等国家级教学相关奖励</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0BF76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项</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573E6E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核心指标</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3C2963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核心指标，本年度有新增，所在二级指标即可得满分。</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4D4DD5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提供获奖清单，并附所获相关证书、下达文件等。</w:t>
            </w:r>
          </w:p>
        </w:tc>
      </w:tr>
      <w:tr w14:paraId="177F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CEA5E0">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b/>
                <w:bCs/>
                <w:i w:val="0"/>
                <w:iCs w:val="0"/>
                <w:color w:val="000000"/>
                <w:kern w:val="0"/>
                <w:sz w:val="22"/>
                <w:szCs w:val="22"/>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415E5F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★1.省级以上高校党建“标杆院系”、优秀党支部等</w:t>
            </w: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0251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B9C0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2CD2D2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有存量或新增得2分。指学科所在学院和学科所在的教工或学生党支部。</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06EA01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提供相关文件、材料等。</w:t>
            </w:r>
          </w:p>
        </w:tc>
      </w:tr>
      <w:tr w14:paraId="67E0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03B8A">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b/>
                <w:bCs/>
                <w:i w:val="0"/>
                <w:iCs w:val="0"/>
                <w:color w:val="000000"/>
                <w:kern w:val="0"/>
                <w:sz w:val="22"/>
                <w:szCs w:val="22"/>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4B9B35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2.国家级一流课程</w:t>
            </w: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E030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门</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B51D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2A1FC9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本年度有存量得1分，新增得满分。</w:t>
            </w:r>
          </w:p>
        </w:tc>
        <w:tc>
          <w:tcPr>
            <w:tcW w:w="9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13D0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提供相关的清单目录，并附相关文件、材料、教材封面复印件等（上一年度未开展的项目，有存量即为满分）。</w:t>
            </w:r>
          </w:p>
        </w:tc>
      </w:tr>
      <w:tr w14:paraId="2CB1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FFDEB">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b/>
                <w:bCs/>
                <w:i w:val="0"/>
                <w:iCs w:val="0"/>
                <w:color w:val="000000"/>
                <w:kern w:val="0"/>
                <w:sz w:val="22"/>
                <w:szCs w:val="22"/>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0194E2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3.国家级和省级一流本科专业</w:t>
            </w: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856F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0039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1262BD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本年度有国家级存量即可得满分，有省级存量得2分，均没有不得分。</w:t>
            </w:r>
          </w:p>
        </w:tc>
        <w:tc>
          <w:tcPr>
            <w:tcW w:w="9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AFD673">
            <w:pPr>
              <w:keepNext w:val="0"/>
              <w:keepLines w:val="0"/>
              <w:pageBreakBefore w:val="0"/>
              <w:widowControl/>
              <w:kinsoku/>
              <w:wordWrap/>
              <w:overflowPunct/>
              <w:topLinePunct w:val="0"/>
              <w:autoSpaceDE/>
              <w:autoSpaceDN/>
              <w:bidi w:val="0"/>
              <w:adjustRightInd/>
              <w:snapToGrid/>
              <w:spacing w:line="320" w:lineRule="exact"/>
              <w:jc w:val="left"/>
              <w:rPr>
                <w:rFonts w:hint="eastAsia" w:ascii="方正仿宋_GBK" w:hAnsi="方正仿宋_GBK" w:eastAsia="方正仿宋_GBK" w:cs="方正仿宋_GBK"/>
                <w:i w:val="0"/>
                <w:iCs w:val="0"/>
                <w:color w:val="000000"/>
                <w:kern w:val="0"/>
                <w:sz w:val="21"/>
                <w:szCs w:val="21"/>
                <w:u w:val="none"/>
                <w:lang w:val="en-US" w:eastAsia="zh-CN" w:bidi="ar"/>
              </w:rPr>
            </w:pPr>
          </w:p>
        </w:tc>
      </w:tr>
      <w:tr w14:paraId="25BB1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FED845">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b/>
                <w:bCs/>
                <w:i w:val="0"/>
                <w:iCs w:val="0"/>
                <w:color w:val="000000"/>
                <w:kern w:val="0"/>
                <w:sz w:val="22"/>
                <w:szCs w:val="22"/>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13E1438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★4.主编和参编国家级教材</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E1DE3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部</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3A391D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44A914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本年度主编教材有存量可得2分；有新增主编教材得3分；有新增参编教材每项加0.5分，最高得3分。</w:t>
            </w:r>
          </w:p>
        </w:tc>
        <w:tc>
          <w:tcPr>
            <w:tcW w:w="9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2C6BD8">
            <w:pPr>
              <w:keepNext w:val="0"/>
              <w:keepLines w:val="0"/>
              <w:pageBreakBefore w:val="0"/>
              <w:widowControl/>
              <w:kinsoku/>
              <w:wordWrap/>
              <w:overflowPunct/>
              <w:topLinePunct w:val="0"/>
              <w:autoSpaceDE/>
              <w:autoSpaceDN/>
              <w:bidi w:val="0"/>
              <w:adjustRightInd/>
              <w:snapToGrid/>
              <w:spacing w:line="320" w:lineRule="exact"/>
              <w:jc w:val="left"/>
              <w:rPr>
                <w:rFonts w:hint="eastAsia" w:ascii="方正仿宋_GBK" w:hAnsi="方正仿宋_GBK" w:eastAsia="方正仿宋_GBK" w:cs="方正仿宋_GBK"/>
                <w:i w:val="0"/>
                <w:iCs w:val="0"/>
                <w:color w:val="000000"/>
                <w:kern w:val="0"/>
                <w:sz w:val="21"/>
                <w:szCs w:val="21"/>
                <w:u w:val="none"/>
                <w:lang w:val="en-US" w:eastAsia="zh-CN" w:bidi="ar"/>
              </w:rPr>
            </w:pPr>
          </w:p>
        </w:tc>
      </w:tr>
      <w:tr w14:paraId="34A55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7C123E">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b/>
                <w:bCs/>
                <w:i w:val="0"/>
                <w:iCs w:val="0"/>
                <w:color w:val="000000"/>
                <w:kern w:val="0"/>
                <w:sz w:val="22"/>
                <w:szCs w:val="22"/>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4A9D5C9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5.省级教学成果奖</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2C556D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项</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7B0DBF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38B037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以排名第一获得教学成果一等奖得满分，二等奖每项1分，三等奖每项0.5分，满分2分。</w:t>
            </w:r>
          </w:p>
        </w:tc>
        <w:tc>
          <w:tcPr>
            <w:tcW w:w="9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C77DD3">
            <w:pPr>
              <w:keepNext w:val="0"/>
              <w:keepLines w:val="0"/>
              <w:pageBreakBefore w:val="0"/>
              <w:widowControl/>
              <w:kinsoku/>
              <w:wordWrap/>
              <w:overflowPunct/>
              <w:topLinePunct w:val="0"/>
              <w:autoSpaceDE/>
              <w:autoSpaceDN/>
              <w:bidi w:val="0"/>
              <w:adjustRightInd/>
              <w:snapToGrid/>
              <w:spacing w:line="320" w:lineRule="exact"/>
              <w:jc w:val="left"/>
              <w:rPr>
                <w:rFonts w:hint="eastAsia" w:ascii="方正仿宋_GBK" w:hAnsi="方正仿宋_GBK" w:eastAsia="方正仿宋_GBK" w:cs="方正仿宋_GBK"/>
                <w:i w:val="0"/>
                <w:iCs w:val="0"/>
                <w:color w:val="000000"/>
                <w:kern w:val="0"/>
                <w:sz w:val="21"/>
                <w:szCs w:val="21"/>
                <w:u w:val="none"/>
                <w:lang w:val="en-US" w:eastAsia="zh-CN" w:bidi="ar"/>
              </w:rPr>
            </w:pPr>
          </w:p>
        </w:tc>
      </w:tr>
      <w:tr w14:paraId="7C263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00EDED">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b/>
                <w:bCs/>
                <w:i w:val="0"/>
                <w:iCs w:val="0"/>
                <w:color w:val="000000"/>
                <w:kern w:val="0"/>
                <w:sz w:val="22"/>
                <w:szCs w:val="22"/>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660A38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6.省级以上实践教学基地</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6758F3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01D66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18CBB6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有存量或新增得2分。</w:t>
            </w:r>
          </w:p>
        </w:tc>
        <w:tc>
          <w:tcPr>
            <w:tcW w:w="9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CF4582">
            <w:pPr>
              <w:keepNext w:val="0"/>
              <w:keepLines w:val="0"/>
              <w:pageBreakBefore w:val="0"/>
              <w:widowControl/>
              <w:kinsoku/>
              <w:wordWrap/>
              <w:overflowPunct/>
              <w:topLinePunct w:val="0"/>
              <w:autoSpaceDE/>
              <w:autoSpaceDN/>
              <w:bidi w:val="0"/>
              <w:adjustRightInd/>
              <w:snapToGrid/>
              <w:spacing w:line="320" w:lineRule="exact"/>
              <w:jc w:val="left"/>
              <w:rPr>
                <w:rFonts w:hint="eastAsia" w:ascii="方正仿宋_GBK" w:hAnsi="方正仿宋_GBK" w:eastAsia="方正仿宋_GBK" w:cs="方正仿宋_GBK"/>
                <w:i w:val="0"/>
                <w:iCs w:val="0"/>
                <w:color w:val="000000"/>
                <w:kern w:val="0"/>
                <w:sz w:val="21"/>
                <w:szCs w:val="21"/>
                <w:u w:val="none"/>
                <w:lang w:val="en-US" w:eastAsia="zh-CN" w:bidi="ar"/>
              </w:rPr>
            </w:pPr>
          </w:p>
        </w:tc>
      </w:tr>
      <w:tr w14:paraId="2C4E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4953AF">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b/>
                <w:bCs/>
                <w:i w:val="0"/>
                <w:iCs w:val="0"/>
                <w:color w:val="000000"/>
                <w:kern w:val="0"/>
                <w:sz w:val="22"/>
                <w:szCs w:val="22"/>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6BC4D3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7-1.学生创新创业能力：在校生获省级及以上国内外学科竞赛、行业竞赛、创新创业类大赛获银奖（二等奖）以上数量</w:t>
            </w: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DFD3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项</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CEA9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42929C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获银奖（二等奖）以上0.1分/项递增。</w:t>
            </w:r>
          </w:p>
        </w:tc>
        <w:tc>
          <w:tcPr>
            <w:tcW w:w="9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11EB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提供学生获奖目录、论文专利清单，相关文件、证书、论文发表页面、其他佐证材料。</w:t>
            </w:r>
          </w:p>
        </w:tc>
      </w:tr>
      <w:tr w14:paraId="0DC8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7205BA">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b/>
                <w:bCs/>
                <w:i w:val="0"/>
                <w:iCs w:val="0"/>
                <w:color w:val="000000"/>
                <w:kern w:val="0"/>
                <w:sz w:val="22"/>
                <w:szCs w:val="22"/>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381E98D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7-2.学生创新创业能力：在校生公开发表论文或取得专利的数量</w:t>
            </w: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695E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项</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7901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1667F3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按照每项0.2分/项递增。</w:t>
            </w:r>
          </w:p>
        </w:tc>
        <w:tc>
          <w:tcPr>
            <w:tcW w:w="9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BD69A4">
            <w:pPr>
              <w:keepNext w:val="0"/>
              <w:keepLines w:val="0"/>
              <w:pageBreakBefore w:val="0"/>
              <w:widowControl/>
              <w:kinsoku/>
              <w:wordWrap/>
              <w:overflowPunct/>
              <w:topLinePunct w:val="0"/>
              <w:autoSpaceDE/>
              <w:autoSpaceDN/>
              <w:bidi w:val="0"/>
              <w:adjustRightInd/>
              <w:snapToGrid/>
              <w:spacing w:line="320" w:lineRule="exact"/>
              <w:jc w:val="left"/>
              <w:rPr>
                <w:rFonts w:hint="eastAsia" w:ascii="方正仿宋_GBK" w:hAnsi="方正仿宋_GBK" w:eastAsia="方正仿宋_GBK" w:cs="方正仿宋_GBK"/>
                <w:i w:val="0"/>
                <w:iCs w:val="0"/>
                <w:color w:val="000000"/>
                <w:kern w:val="0"/>
                <w:sz w:val="21"/>
                <w:szCs w:val="21"/>
                <w:u w:val="none"/>
                <w:lang w:val="en-US" w:eastAsia="zh-CN" w:bidi="ar"/>
              </w:rPr>
            </w:pPr>
          </w:p>
        </w:tc>
      </w:tr>
      <w:tr w14:paraId="6387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D77C4F">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b/>
                <w:bCs/>
                <w:i w:val="0"/>
                <w:iCs w:val="0"/>
                <w:color w:val="000000"/>
                <w:kern w:val="0"/>
                <w:sz w:val="22"/>
                <w:szCs w:val="22"/>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19CD85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8.立德树人典型案例</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7B6D4D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0946AA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487899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提供1个本学科当年立德树人典型案例，优秀得1分，一般得0.5分。</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2F7743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提供1000字以内材料。</w:t>
            </w:r>
          </w:p>
        </w:tc>
      </w:tr>
      <w:tr w14:paraId="1C92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3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3EA2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人才队伍(12分)</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0287A9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b/>
                <w:bCs/>
                <w:i w:val="0"/>
                <w:iCs w:val="0"/>
                <w:color w:val="000000"/>
                <w:kern w:val="0"/>
                <w:sz w:val="21"/>
                <w:szCs w:val="21"/>
                <w:u w:val="none"/>
                <w:lang w:val="en-US" w:eastAsia="zh-CN" w:bidi="ar"/>
              </w:rPr>
              <w:t>核心指标：</w:t>
            </w:r>
            <w:r>
              <w:rPr>
                <w:rFonts w:hint="eastAsia" w:ascii="方正仿宋_GBK" w:hAnsi="方正仿宋_GBK" w:eastAsia="方正仿宋_GBK" w:cs="方正仿宋_GBK"/>
                <w:i w:val="0"/>
                <w:iCs w:val="0"/>
                <w:color w:val="000000"/>
                <w:kern w:val="0"/>
                <w:sz w:val="21"/>
                <w:szCs w:val="21"/>
                <w:u w:val="none"/>
                <w:lang w:val="en-US" w:eastAsia="zh-CN" w:bidi="ar"/>
              </w:rPr>
              <w:t>国家级高层次人才</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6A56D2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人</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7509FD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核心指标</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67ADF0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核心指标，当年有新增国家级高层次人才，所在二级指标项即满分，有存量所在二级指标项不低于10分。</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6D2B1D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提供人才清单，并附人才所获证书、相关文件等。</w:t>
            </w:r>
          </w:p>
        </w:tc>
      </w:tr>
      <w:tr w14:paraId="4172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BB7841">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b/>
                <w:bCs/>
                <w:i w:val="0"/>
                <w:iCs w:val="0"/>
                <w:color w:val="000000"/>
                <w:kern w:val="0"/>
                <w:sz w:val="22"/>
                <w:szCs w:val="22"/>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1DC079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9.双聘教师和具有企业或行业经历的教师数（含校外导师）</w:t>
            </w: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00B0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人</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05DF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06E722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有存量得1分，新增按照0.5分/人增加。</w:t>
            </w:r>
          </w:p>
        </w:tc>
        <w:tc>
          <w:tcPr>
            <w:tcW w:w="9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0549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提供本科学教师名单（学校人事、教务、研究生等部门提供的相关证明或文件）、获奖证书复印件等。</w:t>
            </w:r>
          </w:p>
        </w:tc>
      </w:tr>
      <w:tr w14:paraId="0F038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59BF25">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b/>
                <w:bCs/>
                <w:i w:val="0"/>
                <w:iCs w:val="0"/>
                <w:color w:val="000000"/>
                <w:kern w:val="0"/>
                <w:sz w:val="22"/>
                <w:szCs w:val="22"/>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0D24EC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★10.省级高层次人才</w:t>
            </w: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0702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人</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0EBC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4ADFB0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有存量得1分，新增按照0.5分/人增加。</w:t>
            </w:r>
          </w:p>
        </w:tc>
        <w:tc>
          <w:tcPr>
            <w:tcW w:w="9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BF4330">
            <w:pPr>
              <w:keepNext w:val="0"/>
              <w:keepLines w:val="0"/>
              <w:pageBreakBefore w:val="0"/>
              <w:widowControl/>
              <w:kinsoku/>
              <w:wordWrap/>
              <w:overflowPunct/>
              <w:topLinePunct w:val="0"/>
              <w:autoSpaceDE/>
              <w:autoSpaceDN/>
              <w:bidi w:val="0"/>
              <w:adjustRightInd/>
              <w:snapToGrid/>
              <w:spacing w:line="320" w:lineRule="exact"/>
              <w:jc w:val="left"/>
              <w:rPr>
                <w:rFonts w:hint="eastAsia" w:ascii="方正仿宋_GBK" w:hAnsi="方正仿宋_GBK" w:eastAsia="方正仿宋_GBK" w:cs="方正仿宋_GBK"/>
                <w:i w:val="0"/>
                <w:iCs w:val="0"/>
                <w:color w:val="000000"/>
                <w:kern w:val="0"/>
                <w:sz w:val="21"/>
                <w:szCs w:val="21"/>
                <w:u w:val="none"/>
                <w:lang w:val="en-US" w:eastAsia="zh-CN" w:bidi="ar"/>
              </w:rPr>
            </w:pPr>
          </w:p>
        </w:tc>
      </w:tr>
      <w:tr w14:paraId="4910D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C5A284">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b/>
                <w:bCs/>
                <w:i w:val="0"/>
                <w:iCs w:val="0"/>
                <w:color w:val="000000"/>
                <w:kern w:val="0"/>
                <w:sz w:val="22"/>
                <w:szCs w:val="22"/>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37E5D8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11.校级及市厅级人才</w:t>
            </w: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1DE3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人</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56B2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313ADD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本年度有新增得满分，有存量得2分。</w:t>
            </w:r>
          </w:p>
        </w:tc>
        <w:tc>
          <w:tcPr>
            <w:tcW w:w="9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5DB945">
            <w:pPr>
              <w:keepNext w:val="0"/>
              <w:keepLines w:val="0"/>
              <w:pageBreakBefore w:val="0"/>
              <w:widowControl/>
              <w:kinsoku/>
              <w:wordWrap/>
              <w:overflowPunct/>
              <w:topLinePunct w:val="0"/>
              <w:autoSpaceDE/>
              <w:autoSpaceDN/>
              <w:bidi w:val="0"/>
              <w:adjustRightInd/>
              <w:snapToGrid/>
              <w:spacing w:line="320" w:lineRule="exact"/>
              <w:jc w:val="left"/>
              <w:rPr>
                <w:rFonts w:hint="eastAsia" w:ascii="方正仿宋_GBK" w:hAnsi="方正仿宋_GBK" w:eastAsia="方正仿宋_GBK" w:cs="方正仿宋_GBK"/>
                <w:i w:val="0"/>
                <w:iCs w:val="0"/>
                <w:color w:val="000000"/>
                <w:kern w:val="0"/>
                <w:sz w:val="21"/>
                <w:szCs w:val="21"/>
                <w:u w:val="none"/>
                <w:lang w:val="en-US" w:eastAsia="zh-CN" w:bidi="ar"/>
              </w:rPr>
            </w:pPr>
          </w:p>
        </w:tc>
      </w:tr>
      <w:tr w14:paraId="3D98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1A3382">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b/>
                <w:bCs/>
                <w:i w:val="0"/>
                <w:iCs w:val="0"/>
                <w:color w:val="000000"/>
                <w:kern w:val="0"/>
                <w:sz w:val="22"/>
                <w:szCs w:val="22"/>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2CEDCB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12.当年引进人才情况</w:t>
            </w: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BC2C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人</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8ED1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22005E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按照每年度引进人次1人/分递增。</w:t>
            </w:r>
          </w:p>
        </w:tc>
        <w:tc>
          <w:tcPr>
            <w:tcW w:w="9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827635">
            <w:pPr>
              <w:keepNext w:val="0"/>
              <w:keepLines w:val="0"/>
              <w:pageBreakBefore w:val="0"/>
              <w:widowControl/>
              <w:kinsoku/>
              <w:wordWrap/>
              <w:overflowPunct/>
              <w:topLinePunct w:val="0"/>
              <w:autoSpaceDE/>
              <w:autoSpaceDN/>
              <w:bidi w:val="0"/>
              <w:adjustRightInd/>
              <w:snapToGrid/>
              <w:spacing w:line="320" w:lineRule="exact"/>
              <w:jc w:val="left"/>
              <w:rPr>
                <w:rFonts w:hint="eastAsia" w:ascii="方正仿宋_GBK" w:hAnsi="方正仿宋_GBK" w:eastAsia="方正仿宋_GBK" w:cs="方正仿宋_GBK"/>
                <w:i w:val="0"/>
                <w:iCs w:val="0"/>
                <w:color w:val="000000"/>
                <w:kern w:val="0"/>
                <w:sz w:val="21"/>
                <w:szCs w:val="21"/>
                <w:u w:val="none"/>
                <w:lang w:val="en-US" w:eastAsia="zh-CN" w:bidi="ar"/>
              </w:rPr>
            </w:pPr>
          </w:p>
        </w:tc>
      </w:tr>
      <w:tr w14:paraId="64C48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F1EE3F">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b/>
                <w:bCs/>
                <w:i w:val="0"/>
                <w:iCs w:val="0"/>
                <w:color w:val="000000"/>
                <w:kern w:val="0"/>
                <w:sz w:val="22"/>
                <w:szCs w:val="22"/>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1E9B7D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13.省部级及以上教学团队</w:t>
            </w: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454E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人</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4B20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679AD8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有存量得1分，有新增得满分。</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5A7E9F4D">
            <w:pPr>
              <w:keepNext w:val="0"/>
              <w:keepLines w:val="0"/>
              <w:pageBreakBefore w:val="0"/>
              <w:widowControl/>
              <w:kinsoku/>
              <w:wordWrap/>
              <w:overflowPunct/>
              <w:topLinePunct w:val="0"/>
              <w:autoSpaceDE/>
              <w:autoSpaceDN/>
              <w:bidi w:val="0"/>
              <w:adjustRightInd/>
              <w:snapToGrid/>
              <w:spacing w:line="320" w:lineRule="exact"/>
              <w:jc w:val="left"/>
              <w:rPr>
                <w:rFonts w:hint="eastAsia" w:ascii="方正仿宋_GBK" w:hAnsi="方正仿宋_GBK" w:eastAsia="方正仿宋_GBK" w:cs="方正仿宋_GBK"/>
                <w:i w:val="0"/>
                <w:iCs w:val="0"/>
                <w:color w:val="000000"/>
                <w:kern w:val="0"/>
                <w:sz w:val="21"/>
                <w:szCs w:val="21"/>
                <w:u w:val="none"/>
                <w:lang w:val="en-US" w:eastAsia="zh-CN" w:bidi="ar"/>
              </w:rPr>
            </w:pPr>
          </w:p>
        </w:tc>
      </w:tr>
      <w:tr w14:paraId="020B5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trPr>
        <w:tc>
          <w:tcPr>
            <w:tcW w:w="3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0F68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科学研究(20分)</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2F3DFF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b/>
                <w:bCs/>
                <w:i w:val="0"/>
                <w:iCs w:val="0"/>
                <w:color w:val="000000"/>
                <w:kern w:val="0"/>
                <w:sz w:val="21"/>
                <w:szCs w:val="21"/>
                <w:u w:val="none"/>
                <w:lang w:val="en-US" w:eastAsia="zh-CN" w:bidi="ar"/>
              </w:rPr>
              <w:t>核心指标：</w:t>
            </w:r>
            <w:r>
              <w:rPr>
                <w:rFonts w:hint="eastAsia" w:ascii="方正仿宋_GBK" w:hAnsi="方正仿宋_GBK" w:eastAsia="方正仿宋_GBK" w:cs="方正仿宋_GBK"/>
                <w:i w:val="0"/>
                <w:iCs w:val="0"/>
                <w:color w:val="000000"/>
                <w:kern w:val="0"/>
                <w:sz w:val="21"/>
                <w:szCs w:val="21"/>
                <w:u w:val="none"/>
                <w:lang w:val="en-US" w:eastAsia="zh-CN" w:bidi="ar"/>
              </w:rPr>
              <w:t>新增国家级科研奖励，国家级支撑平台，主持国家重点研发计划或国家科技重大专项或国家社科基金重大项目</w:t>
            </w: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190D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项</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2E55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13AACE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核心指标：重大研发计划和国家科技重大专项需达2000万以上或国家社科基金重大项目，任意一项有新增，所在二级指标可得满分。</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3609E2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提供奖励或项目清单，并附下达文件等。</w:t>
            </w:r>
          </w:p>
        </w:tc>
      </w:tr>
      <w:tr w14:paraId="1A73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7"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972E6C">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61CECF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14.省厅级以上科研支撑平台</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7AA25F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1370C7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75F2BF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有验收评估获得优秀的即可得满分；本年度以第一单位有数量增加得满分，以合作单位有数量增加得0.5分/项；有存量得2分。</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319370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提供平台清单，并附平台获批文件材料（作为合作依托单位，批文中应有明确，否则不予认定）。</w:t>
            </w:r>
          </w:p>
        </w:tc>
      </w:tr>
      <w:tr w14:paraId="61F0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32A188">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0AE801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★15.省部级及以上科研奖励一等奖、二等奖、三等奖</w:t>
            </w: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9C4C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项</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0069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4CAD0E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本年度以第一单位获得二等奖及以上得满分；以第一单位获得三等奖得2分/项；以第二单位获得二等奖及以上得1分/项；最高得3分。</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03874A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提供将相关文件、证书复印件。</w:t>
            </w:r>
          </w:p>
        </w:tc>
      </w:tr>
      <w:tr w14:paraId="3409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1D47FE">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629AB3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★16.新增国家级科研项目数量</w:t>
            </w: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9A85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项</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0DA8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7DCF30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本年度有新增，得满分4分。</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7D043F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提供相关项目、经费清单等材料。</w:t>
            </w:r>
          </w:p>
        </w:tc>
      </w:tr>
      <w:tr w14:paraId="1F09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597C6F">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4E907D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17.新增省部级科研项目数量（除学校自主评选项目）</w:t>
            </w: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E89A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项</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202F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350ADF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本年度有新增，按照1分/项。</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5C5377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提供相关项目、经费清单等材料。</w:t>
            </w:r>
          </w:p>
        </w:tc>
      </w:tr>
      <w:tr w14:paraId="6011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D5D638">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6F4B70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★18.高水平论文和发明专利</w:t>
            </w: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18A1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篇/项</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BC34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7AE64A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高水平论文满分2分，年度新增0.5分/篇递增；发明专利满分2分，年度新增0.5项/篇递增。</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7D6306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提供当年自然科学类中科院分区一区论文或人文社科类CSSCI论文，或被新华文摘（全文）、中国社会科学、求是、人大报刊复印资料（全文）、人民日报（理论版）、光明日报（理论版）转载收录，授权发明专利清单，及论文复印件和专利授权书。</w:t>
            </w:r>
          </w:p>
        </w:tc>
      </w:tr>
      <w:tr w14:paraId="07A3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4F7992">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6B2281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19.省部级及以上科技创新团队</w:t>
            </w: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BF28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5E61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158687D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有数量增加即可得满分；有存量得1分。</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46E7A2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提供相关文件、材料等。</w:t>
            </w:r>
          </w:p>
        </w:tc>
      </w:tr>
      <w:tr w14:paraId="5753D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3" w:hRule="atLeast"/>
        </w:trPr>
        <w:tc>
          <w:tcPr>
            <w:tcW w:w="3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D7F6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社会服务(25分)</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19F17A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20.校企合作：与行业、企业签订专项人才联合培养计划、项目数，与国内外地方政府设立的科技服务站、服务基地、科普教育基地等</w:t>
            </w: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A1A1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项</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EDF4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399E2D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仍在联合培养期内的项目每个1分，满分5分。</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036652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提供计划和项目清单，并附签订的相关协议、项目合同材料。</w:t>
            </w:r>
          </w:p>
        </w:tc>
      </w:tr>
      <w:tr w14:paraId="77651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0"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0959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31933D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★21.当年专利许可、作价投资和成果转化情况，咨政报告获省部级及以上部门采纳或获省部级及以上领导批示，行业标准制定等情况</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5ECA34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项</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30BAA2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7EFF28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本学科年度成果转化总金额达到500万（文科200万）及以上得满分，250万（文科100万）及以上得6分，125万（文科50万）及以上4分，50万（文科20万）及以上2分；咨政报告获省部级（不包含）以上领导批示的得满分，获部委或省委省政府主要负责同志批示肯定3分，获省部级部门采纳或获副省级领导批示肯定1.5分/项；制定指南3分/项；制定国际标准得3分/项，制定国家标准2分/项，制定行业标准1分/项，满分10分。</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7DA3BC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提供专利许可证明、作价投资合同金额明细等相关证明材料，咨政报告采纳证明及批示件，标准文件等。</w:t>
            </w:r>
          </w:p>
        </w:tc>
      </w:tr>
      <w:tr w14:paraId="4139C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3"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676A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2235E4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22.当年新增与企事业单位合作横向科研项目到账经费</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5F7CE5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万元</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23F037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26C6B6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本学科自然科学类工学横项项目总经费达到800万（理学600万、文科300万）得满分；600万（理学400万、文科200万）以上得3分；400万（理学200万、文科100万）以上得1分。</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70D2D6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提供财务出具的横向项目经费明细。</w:t>
            </w:r>
          </w:p>
        </w:tc>
      </w:tr>
      <w:tr w14:paraId="36B22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39B4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4BD9CD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23.举办国际/国内学术会议</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D19BD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场</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5C805E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22BCBE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本年度主办国际学术会议或全国（一级学会）学术会议2分/次；举办全国（二级学会）学术会议1分/次，满分2分。</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6FADEF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提供学会委托通知、会议通知、手册等。</w:t>
            </w:r>
          </w:p>
        </w:tc>
      </w:tr>
      <w:tr w14:paraId="0F85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AA69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737A12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24.社会服务和贡献典型案例</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4956F2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25FE18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32114F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提供本学科当年社会服务和贡献典型案例0.5分/个，满分为2分，其中获得“优秀”等次的得满分。</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0C78C0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提供1000字以内材料。</w:t>
            </w:r>
          </w:p>
        </w:tc>
      </w:tr>
      <w:tr w14:paraId="04DBC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5D92D1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关键指标(10分)</w:t>
            </w:r>
          </w:p>
          <w:p w14:paraId="22FCEF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18"/>
                <w:szCs w:val="18"/>
                <w:u w:val="none"/>
                <w:lang w:val="en-US" w:eastAsia="zh-CN" w:bidi="ar"/>
              </w:rPr>
              <w:t>（附加分）</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05148D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其中加★为关键指标</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585AB8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06A90E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812" w:type="pct"/>
            <w:tcBorders>
              <w:top w:val="single" w:color="auto" w:sz="4" w:space="0"/>
              <w:left w:val="single" w:color="auto" w:sz="4" w:space="0"/>
              <w:bottom w:val="single" w:color="auto" w:sz="4" w:space="0"/>
              <w:right w:val="single" w:color="auto" w:sz="4" w:space="0"/>
            </w:tcBorders>
            <w:shd w:val="clear" w:color="auto" w:fill="auto"/>
            <w:vAlign w:val="center"/>
          </w:tcPr>
          <w:p w14:paraId="244819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专家在评审后，根据关键指标完成情况酌情加分，完成1个关键指标加1分，其中指标/15/16/21完成可加2分。满分10分。</w:t>
            </w: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74B7EF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r>
    </w:tbl>
    <w:p w14:paraId="57BEB18F">
      <w:r>
        <w:rPr>
          <w:rStyle w:val="4"/>
          <w:rFonts w:hAnsi="等线"/>
          <w:sz w:val="21"/>
          <w:szCs w:val="21"/>
          <w:lang w:val="en-US" w:eastAsia="zh-CN" w:bidi="ar"/>
        </w:rPr>
        <w:t>填表说明：</w:t>
      </w:r>
      <w:r>
        <w:rPr>
          <w:rStyle w:val="5"/>
          <w:rFonts w:hAnsi="等线"/>
          <w:sz w:val="21"/>
          <w:szCs w:val="21"/>
          <w:lang w:val="en-US" w:eastAsia="zh-CN" w:bidi="ar"/>
        </w:rPr>
        <w:br w:type="textWrapping"/>
      </w:r>
      <w:r>
        <w:rPr>
          <w:rStyle w:val="5"/>
          <w:rFonts w:hAnsi="等线"/>
          <w:sz w:val="21"/>
          <w:szCs w:val="21"/>
          <w:lang w:val="en-US" w:eastAsia="zh-CN" w:bidi="ar"/>
        </w:rPr>
        <w:t>1.国家级高层次人才：指两院院士、国家万人计划（领军）、教育部长江学者、国家杰青基金、国医大师获得者等，及作为负责人获批国家级重大、重点项目的教师；国家百千万人才、国家万人计划（青年拔尖人才）、青年长江学者、国家优秀青年基金等；</w:t>
      </w:r>
      <w:r>
        <w:rPr>
          <w:rStyle w:val="5"/>
          <w:rFonts w:hAnsi="等线"/>
          <w:sz w:val="21"/>
          <w:szCs w:val="21"/>
          <w:lang w:val="en-US" w:eastAsia="zh-CN" w:bidi="ar"/>
        </w:rPr>
        <w:br w:type="textWrapping"/>
      </w:r>
      <w:r>
        <w:rPr>
          <w:rStyle w:val="5"/>
          <w:rFonts w:hAnsi="等线"/>
          <w:sz w:val="21"/>
          <w:szCs w:val="21"/>
          <w:lang w:val="en-US" w:eastAsia="zh-CN" w:bidi="ar"/>
        </w:rPr>
        <w:t>2.省级高层次人才：省百人计划、皖江学者、省特支计划、江淮名家、学术技术带头人及后备人选、省杰青、省优青；</w:t>
      </w:r>
      <w:r>
        <w:rPr>
          <w:rStyle w:val="5"/>
          <w:rFonts w:hAnsi="等线"/>
          <w:sz w:val="21"/>
          <w:szCs w:val="21"/>
          <w:lang w:val="en-US" w:eastAsia="zh-CN" w:bidi="ar"/>
        </w:rPr>
        <w:br w:type="textWrapping"/>
      </w:r>
      <w:r>
        <w:rPr>
          <w:rStyle w:val="5"/>
          <w:rFonts w:hAnsi="等线"/>
          <w:sz w:val="21"/>
          <w:szCs w:val="21"/>
          <w:lang w:val="en-US" w:eastAsia="zh-CN" w:bidi="ar"/>
        </w:rPr>
        <w:t>3.国家级支撑平台：指国家重大科技基础设施、国家研究中心、前沿科学中心、集成攻关大平台、国家重点实验室、2011协同创新中心（不含省部共建协同创新中心）、国防科技重点实验室；国家技术创新中心、省部共建国家重点实验室、国家工程技术研究中心、国家工程研究中心、国家工程实验室、国家地方联合工程研究中心（实验室）、国家国际科技合作基地；</w:t>
      </w:r>
      <w:r>
        <w:rPr>
          <w:rStyle w:val="5"/>
          <w:rFonts w:hAnsi="等线"/>
          <w:sz w:val="21"/>
          <w:szCs w:val="21"/>
          <w:lang w:val="en-US" w:eastAsia="zh-CN" w:bidi="ar"/>
        </w:rPr>
        <w:br w:type="textWrapping"/>
      </w:r>
      <w:r>
        <w:rPr>
          <w:rStyle w:val="5"/>
          <w:rFonts w:hAnsi="等线"/>
          <w:sz w:val="21"/>
          <w:szCs w:val="21"/>
          <w:lang w:val="en-US" w:eastAsia="zh-CN" w:bidi="ar"/>
        </w:rPr>
        <w:t>4.部级支撑平台：指教育部设立的教育部重点实验室、教育部工程研究中心、省部共建协同创新中心、教育部国际合作联合实验室、高等学校学科创新引智基地，国家部委（除科技部、教育部）立项建设的实验室、工程中心、协同创新中心、人文社科重点研究基地、智库；</w:t>
      </w:r>
      <w:r>
        <w:rPr>
          <w:rStyle w:val="5"/>
          <w:rFonts w:hAnsi="等线"/>
          <w:sz w:val="21"/>
          <w:szCs w:val="21"/>
          <w:lang w:val="en-US" w:eastAsia="zh-CN" w:bidi="ar"/>
        </w:rPr>
        <w:br w:type="textWrapping"/>
      </w:r>
      <w:r>
        <w:rPr>
          <w:rStyle w:val="5"/>
          <w:rFonts w:hAnsi="等线"/>
          <w:sz w:val="21"/>
          <w:szCs w:val="21"/>
          <w:lang w:val="en-US" w:eastAsia="zh-CN" w:bidi="ar"/>
        </w:rPr>
        <w:t>5.省级支撑平台：省科技厅、省发改委、省教育厅立项建设的实验室，工程中心，共性技术中心，协同创新中心，人文社科重点实验室、重点研究基地、智库；</w:t>
      </w:r>
      <w:r>
        <w:rPr>
          <w:rStyle w:val="5"/>
          <w:rFonts w:hAnsi="等线"/>
          <w:sz w:val="21"/>
          <w:szCs w:val="21"/>
          <w:lang w:val="en-US" w:eastAsia="zh-CN" w:bidi="ar"/>
        </w:rPr>
        <w:br w:type="textWrapping"/>
      </w:r>
      <w:r>
        <w:rPr>
          <w:rStyle w:val="5"/>
          <w:rFonts w:hAnsi="等线"/>
          <w:sz w:val="21"/>
          <w:szCs w:val="21"/>
          <w:lang w:val="en-US" w:eastAsia="zh-CN" w:bidi="ar"/>
        </w:rPr>
        <w:t>6.国家级一流课程：指国家级线上一流课程、国家级线下一流课程、国家级线上线下混合式一流课程、国家虚拟仿真实验教学一流课程、国家级社会实践一流课程；</w:t>
      </w:r>
      <w:r>
        <w:rPr>
          <w:rStyle w:val="5"/>
          <w:rFonts w:hAnsi="等线"/>
          <w:sz w:val="21"/>
          <w:szCs w:val="21"/>
          <w:lang w:val="en-US" w:eastAsia="zh-CN" w:bidi="ar"/>
        </w:rPr>
        <w:br w:type="textWrapping"/>
      </w:r>
      <w:r>
        <w:rPr>
          <w:rStyle w:val="5"/>
          <w:rFonts w:hAnsi="等线"/>
          <w:sz w:val="21"/>
          <w:szCs w:val="21"/>
          <w:lang w:val="en-US" w:eastAsia="zh-CN" w:bidi="ar"/>
        </w:rPr>
        <w:t>7.省部级以上科研奖励：①国家级科研奖励：指国家最高科学技术奖、自然科学奖、技术发明奖、科技进步奖、国际科学技术合作奖，②省级科研奖励：指教育部高校科研成果自然科学奖、技术发明奖、科技进步奖、专利奖、青年科学奖；国防技术发明奖、科学技术进步奖、科技工业杰出人才奖，军队科技进步奖、环境保护科学技术奖、国土资源科学技术奖、安全生产科技成果奖、中国专利奖、何梁何利科技奖；安徽省重大科技成就奖、自然科学奖、科技进步奖、技术合作奖、社会科学奖等；</w:t>
      </w:r>
      <w:r>
        <w:rPr>
          <w:rStyle w:val="5"/>
          <w:rFonts w:hAnsi="等线"/>
          <w:sz w:val="21"/>
          <w:szCs w:val="21"/>
          <w:lang w:val="en-US" w:eastAsia="zh-CN" w:bidi="ar"/>
        </w:rPr>
        <w:br w:type="textWrapping"/>
      </w:r>
      <w:r>
        <w:rPr>
          <w:rStyle w:val="5"/>
          <w:rFonts w:hAnsi="等线"/>
          <w:sz w:val="21"/>
          <w:szCs w:val="21"/>
          <w:lang w:val="en-US" w:eastAsia="zh-CN" w:bidi="ar"/>
        </w:rPr>
        <w:t>8.国家级科研项目：指国家自然科学基金、国家科技重大专项、国家重点研发计划、国家社会科学基金；</w:t>
      </w:r>
      <w:r>
        <w:rPr>
          <w:rStyle w:val="5"/>
          <w:rFonts w:hAnsi="等线"/>
          <w:sz w:val="21"/>
          <w:szCs w:val="21"/>
          <w:lang w:val="en-US" w:eastAsia="zh-CN" w:bidi="ar"/>
        </w:rPr>
        <w:br w:type="textWrapping"/>
      </w:r>
      <w:r>
        <w:rPr>
          <w:rStyle w:val="5"/>
          <w:rFonts w:hAnsi="等线"/>
          <w:sz w:val="21"/>
          <w:szCs w:val="21"/>
          <w:lang w:val="en-US" w:eastAsia="zh-CN" w:bidi="ar"/>
        </w:rPr>
        <w:t>9.省部级科研项目：指国家部委（除科技部）、省科技厅、省哲学社会科学规划办公室下达的科研项目等</w:t>
      </w:r>
      <w:r>
        <w:rPr>
          <w:rStyle w:val="5"/>
          <w:rFonts w:hAnsi="等线"/>
          <w:sz w:val="24"/>
          <w:szCs w:val="24"/>
          <w:lang w:val="en-US" w:eastAsia="zh-CN" w:bidi="ar"/>
        </w:rPr>
        <w:t>。</w:t>
      </w:r>
    </w:p>
    <w:p w14:paraId="588B23A7"/>
    <w:sectPr>
      <w:pgSz w:w="16838" w:h="11906"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06762"/>
    <w:rsid w:val="4B706762"/>
    <w:rsid w:val="4F3B174B"/>
    <w:rsid w:val="6CD96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01"/>
    <w:basedOn w:val="3"/>
    <w:qFormat/>
    <w:uiPriority w:val="0"/>
    <w:rPr>
      <w:rFonts w:hint="eastAsia" w:ascii="仿宋_GB2312" w:eastAsia="仿宋_GB2312" w:cs="仿宋_GB2312"/>
      <w:b/>
      <w:bCs/>
      <w:color w:val="000000"/>
      <w:sz w:val="30"/>
      <w:szCs w:val="30"/>
      <w:u w:val="none"/>
    </w:rPr>
  </w:style>
  <w:style w:type="character" w:customStyle="1" w:styleId="5">
    <w:name w:val="font112"/>
    <w:basedOn w:val="3"/>
    <w:qFormat/>
    <w:uiPriority w:val="0"/>
    <w:rPr>
      <w:rFonts w:hint="eastAsia" w:ascii="仿宋_GB2312" w:eastAsia="仿宋_GB2312" w:cs="仿宋_GB2312"/>
      <w:color w:val="000000"/>
      <w:sz w:val="30"/>
      <w:szCs w:val="3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3392</Words>
  <Characters>3573</Characters>
  <Lines>0</Lines>
  <Paragraphs>0</Paragraphs>
  <TotalTime>0</TotalTime>
  <ScaleCrop>false</ScaleCrop>
  <LinksUpToDate>false</LinksUpToDate>
  <CharactersWithSpaces>3573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2024-11-15T00:30:00Z</dcterms:created>
  <dc:creator>_小骏</dc:creator>
  <cp:lastModifiedBy>15829795116</cp:lastModifiedBy>
  <dcterms:modified xsi:type="dcterms:W3CDTF">2025-12-19T07:10:19Z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7E2BD762D1694B1C93638D2A59CB891F_11</vt:lpwstr>
  </property>
  <property fmtid="{D5CDD505-2E9C-101B-9397-08002B2CF9AE}" pid="4" name="KSOTemplateDocerSaveRecord">
    <vt:lpwstr>eyJoZGlkIjoiZDVhNzlhOGJmZWU3N2JiN2E0Mzk4ZTA4NDljYjE2MTQiLCJ1c2VySWQiOiIxNjMxODkyNTgxIn0=</vt:lpwstr>
  </property>
</Properties>
</file>