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65960B"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关于举办第六届全国高校教师教学创新大赛安徽赛区比赛的预通知</w:t>
      </w:r>
    </w:p>
    <w:p w14:paraId="69E7841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各本科高校：</w:t>
      </w:r>
    </w:p>
    <w:p w14:paraId="2020AE7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鉴于第六届全国高校教师教学创新大赛国赛通知尚未正式发布，为提前谋划、扎实推进我省赛区各项筹备工作，现将赛事相关事项预通知如下。后续实际安排以正式通知为准，请各高校高度重视，积极筹备。</w:t>
      </w:r>
    </w:p>
    <w:p w14:paraId="5918B49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一、比赛安排</w:t>
      </w:r>
    </w:p>
    <w:p w14:paraId="579D0E6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2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（一）赛道设置</w:t>
      </w:r>
    </w:p>
    <w:p w14:paraId="38E279F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本届比赛拟设9个赛道，分别为新工科、新医科、新农科、新文科、基础课程、课程思政、产教融合、人工智能+、实验教学。其中，第1-6个赛道按参赛教师专业技术职务等级分组，每赛道下设正高、副高、中级及以下3个小组；产教融合赛道按高校类型分组，下设部属高校、地方高校2个小组；人工智能+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和</w:t>
      </w: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实验教学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两个</w:t>
      </w: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赛道将根据国赛通知要求另行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通知</w:t>
      </w: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 w14:paraId="7A167E5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2" w:firstLineChars="200"/>
        <w:jc w:val="left"/>
        <w:outlineLvl w:val="0"/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（二）参赛对象</w:t>
      </w:r>
    </w:p>
    <w:p w14:paraId="0E151FE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9个赛道参赛对象均为安徽省内本科高校在职教师，主讲教师近5年需对所参赛本科课程讲授2轮及以上，可个人或团队参赛。团队参赛需包含1名主讲教师和不超过3名团队教师，其中产教融合赛道团队至少含1名行业企业聘请的兼职教师，且该兼职教师深度参与教育教学时间达2年及以上；实验教学赛道主讲教师需为专任教师，团队可包含实验技术人员，鼓励专任教师与实验技术人员联合开展教学实验装置、平台研发升级，重点支持自制教学实验设备、虚拟仿真实验教学课程及平台等方向。</w:t>
      </w:r>
    </w:p>
    <w:p w14:paraId="2607862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已获得往届大赛全国赛一等奖的主讲教师不能再次参赛，已获得上届大赛全国赛二、三等奖的主讲教师不能连续参赛。</w:t>
      </w:r>
    </w:p>
    <w:p w14:paraId="6398F26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2" w:firstLineChars="200"/>
        <w:jc w:val="left"/>
        <w:outlineLvl w:val="0"/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（三）大赛内容</w:t>
      </w:r>
    </w:p>
    <w:p w14:paraId="22DD19C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1-6赛道需提交课堂教学实录视频、教学创新成果报告及教学设计创新汇报；</w:t>
      </w:r>
    </w:p>
    <w:p w14:paraId="1AB2511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课程思政赛道提交课堂教学实录视频、课程思政创新报告及教学设计创新汇报；</w:t>
      </w:r>
    </w:p>
    <w:p w14:paraId="4FC9C50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产教融合赛道提交课堂教学实录视频、产教融合创新成果报告及教学设计创新汇报；</w:t>
      </w:r>
    </w:p>
    <w:p w14:paraId="30C3D95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人工智能+、实验教学赛道内容根据国赛通知另行明确。</w:t>
      </w:r>
    </w:p>
    <w:p w14:paraId="0A426A40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黑体" w:hAnsi="黑体" w:eastAsia="黑体" w:cs="黑体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名额分配</w:t>
      </w:r>
    </w:p>
    <w:p w14:paraId="2EFE7B1B">
      <w:pPr>
        <w:pStyle w:val="2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本届大赛参赛名额原则上沿用第五届大赛的基数标准，旨在</w:t>
      </w:r>
      <w:bookmarkStart w:id="0" w:name="_GoBack"/>
      <w:bookmarkEnd w:id="0"/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保持赛事名额分配的稳定性与延续性。</w:t>
      </w: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名额分配将综合考量高校类型、往届参赛成效等因素，具体方案以正式通知为准。</w:t>
      </w:r>
    </w:p>
    <w:p w14:paraId="3853D60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黑体" w:hAnsi="黑体" w:eastAsia="黑体" w:cs="黑体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三、大赛实施</w:t>
      </w:r>
    </w:p>
    <w:p w14:paraId="0A7C2A5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2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（一）校赛</w:t>
      </w:r>
    </w:p>
    <w:p w14:paraId="3DD7F9A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各高校需自主组织校赛遴选，制定公平、公正、公开的选拔规则与流程，选拔优秀教师代表学校参加省赛。校赛要注重挖掘教学创新典型案例，储备优质参赛资源，同步做好参赛教师备赛动员与指导。</w:t>
      </w:r>
    </w:p>
    <w:p w14:paraId="04B2105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2" w:firstLineChars="200"/>
        <w:jc w:val="left"/>
        <w:outlineLvl w:val="0"/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（二）省赛</w:t>
      </w:r>
    </w:p>
    <w:p w14:paraId="2AE7992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省赛在教育厅指导下，设立组织委员会、纪律与监督委员会和仲裁委员会，分别负责赛事统筹协调、纪律监督及争议仲裁。组委会办公室设在安徽师范大学，承担赛事组织筹备、联络协调、执行等日常工作。省赛自正式通知发布之日起启动，决赛地点设在安徽师范大学，具体赛程、评审标准、材料报送要求等将结合国赛通知精神在正式通知中明确。</w:t>
      </w:r>
    </w:p>
    <w:p w14:paraId="5B1B9D9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黑体" w:hAnsi="黑体" w:eastAsia="黑体" w:cs="黑体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黑体" w:hAnsi="黑体" w:eastAsia="黑体" w:cs="黑体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、联系方式</w:t>
      </w:r>
    </w:p>
    <w:p w14:paraId="21B3054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2" w:firstLineChars="200"/>
        <w:jc w:val="left"/>
        <w:outlineLvl w:val="0"/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（一）省赛组委会办公室</w:t>
      </w:r>
    </w:p>
    <w:p w14:paraId="0010215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联系人：陈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琪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颜燕娟</w:t>
      </w:r>
    </w:p>
    <w:p w14:paraId="3D38A2A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联系电话：0553-5910169</w:t>
      </w:r>
    </w:p>
    <w:p w14:paraId="4590DDF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2" w:firstLineChars="200"/>
        <w:jc w:val="left"/>
        <w:outlineLvl w:val="0"/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/>
          <w:bCs w:val="0"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（二）技术支持</w:t>
      </w:r>
    </w:p>
    <w:p w14:paraId="7808417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联系人：超星集团（安徽）董思亚</w:t>
      </w:r>
    </w:p>
    <w:p w14:paraId="532757B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联系电话：18205699706</w:t>
      </w:r>
    </w:p>
    <w:p w14:paraId="0E4F2E2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56F289C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righ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第六届全国高校教师教学创新大赛安徽赛区组织委员会</w:t>
      </w:r>
    </w:p>
    <w:p w14:paraId="56558FE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center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2025年12月16日</w:t>
      </w:r>
    </w:p>
    <w:p w14:paraId="356B01B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exact"/>
        <w:ind w:firstLine="600" w:firstLineChars="200"/>
        <w:jc w:val="left"/>
        <w:outlineLvl w:val="0"/>
        <w:rPr>
          <w:rFonts w:hint="default" w:ascii="仿宋_GB2312" w:hAnsi="仿宋_GB2312" w:eastAsia="仿宋_GB2312" w:cs="仿宋_GB2312"/>
          <w:b w:val="0"/>
          <w:bCs/>
          <w:color w:val="000000" w:themeColor="text1"/>
          <w:kern w:val="2"/>
          <w:sz w:val="30"/>
          <w:szCs w:val="30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B33AC"/>
    <w:multiLevelType w:val="singleLevel"/>
    <w:tmpl w:val="08CB33A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473B2"/>
    <w:rsid w:val="0DDA1988"/>
    <w:rsid w:val="2CD31625"/>
    <w:rsid w:val="331F64B7"/>
    <w:rsid w:val="343B467F"/>
    <w:rsid w:val="4A54318E"/>
    <w:rsid w:val="5661367A"/>
    <w:rsid w:val="6CF3490E"/>
    <w:rsid w:val="6F5F768C"/>
    <w:rsid w:val="72091EAA"/>
    <w:rsid w:val="73920B67"/>
    <w:rsid w:val="7FFC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1159</Words>
  <Characters>1189</Characters>
  <Lines>0</Lines>
  <Paragraphs>0</Paragraphs>
  <TotalTime>130</TotalTime>
  <ScaleCrop>false</ScaleCrop>
  <LinksUpToDate>false</LinksUpToDate>
  <CharactersWithSpaces>1193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2025-12-16T04:01:00Z</dcterms:created>
  <dc:creator>Lenovo</dc:creator>
  <cp:lastModifiedBy>陈琪</cp:lastModifiedBy>
  <dcterms:modified xsi:type="dcterms:W3CDTF">2025-12-17T11:22:39Z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eyJoZGlkIjoiODViY2JkMjU3NGYzZTEwMzZmMGFkZWViYmNkYWU3NDIiLCJ1c2VySWQiOiI1NDEyMDgxNDYifQ==</vt:lpwstr>
  </property>
  <property fmtid="{D5CDD505-2E9C-101B-9397-08002B2CF9AE}" pid="4" name="ICV">
    <vt:lpwstr>5DE132AC62264A539F05C516E3C2D89F_13</vt:lpwstr>
  </property>
</Properties>
</file>