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before="100" w:beforeAutospacing="1" w:after="100" w:afterAutospacing="1" w:line="450" w:lineRule="atLeast"/>
        <w:jc w:val="center"/>
        <w:rPr>
          <w:rFonts w:ascii="方正仿宋_GBK" w:hAnsi="宋体" w:eastAsia="方正仿宋_GBK" w:cs="宋体"/>
          <w:kern w:val="0"/>
          <w:sz w:val="33"/>
          <w:szCs w:val="33"/>
        </w:rPr>
      </w:pPr>
      <w:r>
        <w:rPr>
          <w:rFonts w:hint="eastAsia" w:ascii="方正小标宋_GBK" w:hAnsi="方正小标宋_GBK" w:eastAsia="方正小标宋_GBK" w:cs="方正小标宋_GBK"/>
          <w:kern w:val="0"/>
          <w:sz w:val="36"/>
          <w:szCs w:val="36"/>
        </w:rPr>
        <w:t>关于做好2023年采购项目申报工作的通知</w:t>
      </w:r>
    </w:p>
    <w:p>
      <w:pPr>
        <w:keepNext w:val="0"/>
        <w:keepLines w:val="0"/>
        <w:pageBreakBefore w:val="0"/>
        <w:widowControl/>
        <w:kinsoku/>
        <w:wordWrap/>
        <w:overflowPunct/>
        <w:topLinePunct w:val="0"/>
        <w:autoSpaceDE/>
        <w:autoSpaceDN/>
        <w:bidi w:val="0"/>
        <w:adjustRightInd w:val="0"/>
        <w:snapToGrid w:val="0"/>
        <w:spacing w:beforeAutospacing="0" w:afterAutospacing="0" w:line="500" w:lineRule="exact"/>
        <w:ind w:firstLine="640" w:firstLineChars="200"/>
        <w:jc w:val="left"/>
        <w:textAlignment w:val="auto"/>
        <w:rPr>
          <w:rFonts w:hint="eastAsia"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rPr>
        <w:t>各单位、各部门：</w:t>
      </w:r>
    </w:p>
    <w:p>
      <w:pPr>
        <w:keepNext w:val="0"/>
        <w:keepLines w:val="0"/>
        <w:pageBreakBefore w:val="0"/>
        <w:widowControl/>
        <w:kinsoku/>
        <w:wordWrap/>
        <w:overflowPunct/>
        <w:topLinePunct w:val="0"/>
        <w:autoSpaceDE/>
        <w:autoSpaceDN/>
        <w:bidi w:val="0"/>
        <w:adjustRightInd w:val="0"/>
        <w:snapToGrid w:val="0"/>
        <w:spacing w:beforeAutospacing="0" w:afterAutospacing="0" w:line="500" w:lineRule="exact"/>
        <w:ind w:firstLine="640" w:firstLineChars="200"/>
        <w:jc w:val="left"/>
        <w:textAlignment w:val="auto"/>
        <w:rPr>
          <w:rFonts w:hint="eastAsia"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rPr>
        <w:t>为进一步规范我校招标采购工作，提高招标采购的效率与质量，现就做好2023年招标采购项目申报的有关事项通知如下</w:t>
      </w:r>
      <w:r>
        <w:rPr>
          <w:rFonts w:hint="eastAsia" w:ascii="方正仿宋_GBK" w:hAnsi="方正仿宋_GBK" w:eastAsia="方正仿宋_GBK" w:cs="方正仿宋_GBK"/>
          <w:b/>
          <w:bCs/>
          <w:kern w:val="0"/>
          <w:sz w:val="32"/>
          <w:szCs w:val="32"/>
        </w:rPr>
        <w:t>：</w:t>
      </w:r>
    </w:p>
    <w:p>
      <w:pPr>
        <w:keepNext w:val="0"/>
        <w:keepLines w:val="0"/>
        <w:pageBreakBefore w:val="0"/>
        <w:widowControl/>
        <w:kinsoku/>
        <w:wordWrap/>
        <w:overflowPunct/>
        <w:topLinePunct w:val="0"/>
        <w:autoSpaceDE/>
        <w:autoSpaceDN/>
        <w:bidi w:val="0"/>
        <w:adjustRightInd w:val="0"/>
        <w:snapToGrid w:val="0"/>
        <w:spacing w:beforeAutospacing="0" w:afterAutospacing="0" w:line="500" w:lineRule="exact"/>
        <w:ind w:firstLine="640" w:firstLineChars="200"/>
        <w:jc w:val="left"/>
        <w:textAlignment w:val="auto"/>
        <w:rPr>
          <w:rFonts w:hint="eastAsia" w:ascii="方正黑体_GBK" w:hAnsi="方正黑体_GBK" w:eastAsia="方正黑体_GBK" w:cs="方正黑体_GBK"/>
          <w:kern w:val="0"/>
          <w:sz w:val="32"/>
          <w:szCs w:val="32"/>
        </w:rPr>
      </w:pPr>
      <w:r>
        <w:rPr>
          <w:rFonts w:hint="eastAsia" w:ascii="方正黑体_GBK" w:hAnsi="方正黑体_GBK" w:eastAsia="方正黑体_GBK" w:cs="方正黑体_GBK"/>
          <w:kern w:val="0"/>
          <w:sz w:val="32"/>
          <w:szCs w:val="32"/>
        </w:rPr>
        <w:t>一、政府采购项目的立项与申报</w:t>
      </w:r>
    </w:p>
    <w:p>
      <w:pPr>
        <w:keepNext w:val="0"/>
        <w:keepLines w:val="0"/>
        <w:pageBreakBefore w:val="0"/>
        <w:widowControl/>
        <w:kinsoku/>
        <w:wordWrap/>
        <w:overflowPunct/>
        <w:topLinePunct w:val="0"/>
        <w:autoSpaceDE/>
        <w:autoSpaceDN/>
        <w:bidi w:val="0"/>
        <w:adjustRightInd w:val="0"/>
        <w:snapToGrid w:val="0"/>
        <w:spacing w:beforeAutospacing="0" w:afterAutospacing="0" w:line="500" w:lineRule="exact"/>
        <w:ind w:firstLine="640" w:firstLineChars="200"/>
        <w:jc w:val="left"/>
        <w:textAlignment w:val="auto"/>
        <w:rPr>
          <w:rFonts w:hint="eastAsia" w:ascii="方正仿宋_GBK" w:hAnsi="方正仿宋_GBK" w:eastAsia="方正仿宋_GBK" w:cs="方正仿宋_GBK"/>
          <w:kern w:val="0"/>
          <w:sz w:val="32"/>
          <w:szCs w:val="32"/>
        </w:rPr>
      </w:pPr>
      <w:r>
        <w:rPr>
          <w:rFonts w:hint="eastAsia" w:ascii="方正楷体_GBK" w:hAnsi="方正楷体_GBK" w:eastAsia="方正楷体_GBK" w:cs="方正楷体_GBK"/>
          <w:kern w:val="0"/>
          <w:sz w:val="32"/>
          <w:szCs w:val="32"/>
        </w:rPr>
        <w:t>（一）方案编制与论证</w:t>
      </w:r>
    </w:p>
    <w:p>
      <w:pPr>
        <w:keepNext w:val="0"/>
        <w:keepLines w:val="0"/>
        <w:pageBreakBefore w:val="0"/>
        <w:widowControl/>
        <w:kinsoku/>
        <w:wordWrap/>
        <w:overflowPunct/>
        <w:topLinePunct w:val="0"/>
        <w:autoSpaceDE/>
        <w:autoSpaceDN/>
        <w:bidi w:val="0"/>
        <w:adjustRightInd w:val="0"/>
        <w:snapToGrid w:val="0"/>
        <w:spacing w:beforeAutospacing="0" w:afterAutospacing="0" w:line="500" w:lineRule="exact"/>
        <w:ind w:firstLine="640" w:firstLineChars="200"/>
        <w:jc w:val="left"/>
        <w:textAlignment w:val="auto"/>
        <w:rPr>
          <w:rFonts w:hint="eastAsia"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rPr>
        <w:t>2023年学校政府采购项目的立项与申报工作已启动。各单位应立足于教学科研和管理工作的实际，组织项目方案的编制与论证工作。</w:t>
      </w:r>
    </w:p>
    <w:p>
      <w:pPr>
        <w:keepNext w:val="0"/>
        <w:keepLines w:val="0"/>
        <w:pageBreakBefore w:val="0"/>
        <w:widowControl/>
        <w:kinsoku/>
        <w:wordWrap/>
        <w:overflowPunct/>
        <w:topLinePunct w:val="0"/>
        <w:autoSpaceDE/>
        <w:autoSpaceDN/>
        <w:bidi w:val="0"/>
        <w:adjustRightInd w:val="0"/>
        <w:snapToGrid w:val="0"/>
        <w:spacing w:beforeAutospacing="0" w:afterAutospacing="0" w:line="500" w:lineRule="exact"/>
        <w:ind w:firstLine="640" w:firstLineChars="200"/>
        <w:jc w:val="left"/>
        <w:textAlignment w:val="auto"/>
        <w:rPr>
          <w:rFonts w:hint="eastAsia"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rPr>
        <w:t>1.各单位按照必要、可行和分步实施的原则，确定2023年拟申报政府采购的项目，编制2023</w:t>
      </w:r>
      <w:r>
        <w:rPr>
          <w:rFonts w:hint="eastAsia" w:ascii="方正仿宋_GBK" w:hAnsi="方正仿宋_GBK" w:eastAsia="方正仿宋_GBK" w:cs="方正仿宋_GBK"/>
          <w:kern w:val="0"/>
          <w:sz w:val="32"/>
          <w:szCs w:val="32"/>
          <w:lang w:eastAsia="zh-CN"/>
        </w:rPr>
        <w:t>年</w:t>
      </w:r>
      <w:r>
        <w:rPr>
          <w:rFonts w:hint="eastAsia" w:ascii="方正仿宋_GBK" w:hAnsi="方正仿宋_GBK" w:eastAsia="方正仿宋_GBK" w:cs="方正仿宋_GBK"/>
          <w:kern w:val="0"/>
          <w:sz w:val="32"/>
          <w:szCs w:val="32"/>
        </w:rPr>
        <w:t>采购计划。</w:t>
      </w:r>
    </w:p>
    <w:p>
      <w:pPr>
        <w:keepNext w:val="0"/>
        <w:keepLines w:val="0"/>
        <w:pageBreakBefore w:val="0"/>
        <w:widowControl/>
        <w:kinsoku/>
        <w:wordWrap/>
        <w:overflowPunct/>
        <w:topLinePunct w:val="0"/>
        <w:autoSpaceDE/>
        <w:autoSpaceDN/>
        <w:bidi w:val="0"/>
        <w:adjustRightInd w:val="0"/>
        <w:snapToGrid w:val="0"/>
        <w:spacing w:beforeAutospacing="0" w:afterAutospacing="0" w:line="500" w:lineRule="exact"/>
        <w:ind w:firstLine="640" w:firstLineChars="200"/>
        <w:jc w:val="left"/>
        <w:textAlignment w:val="auto"/>
        <w:rPr>
          <w:rFonts w:hint="eastAsia"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rPr>
        <w:t xml:space="preserve">2.各单位应指定专人负责项目方案调研与采购需求的编制。各单位应成立由领导班子成员和其他相关专业人员参加的论证工作组，负责对采购项目的需求与参数进行初步论证，在方案编制过程中应广泛调研，调研单位原则上不少于三家，并邀请相关专业人员或供应商参加项目方案的论证。严禁以供应商提供的方案或参数直接作为项目招标的方案或参数。预算30万元以上的采购项目，须经部门处务会议或学院党政联席会议讨论研究。项目方案提交归口管理部门进行审核时，必须同时报送初步论证和会议记录等材料。未附论证材料和会议记录材料的项目，归口管理部门应不予审核并退回项目单位。 </w:t>
      </w:r>
    </w:p>
    <w:p>
      <w:pPr>
        <w:keepNext w:val="0"/>
        <w:keepLines w:val="0"/>
        <w:pageBreakBefore w:val="0"/>
        <w:widowControl/>
        <w:kinsoku/>
        <w:wordWrap/>
        <w:overflowPunct/>
        <w:topLinePunct w:val="0"/>
        <w:autoSpaceDE/>
        <w:autoSpaceDN/>
        <w:bidi w:val="0"/>
        <w:adjustRightInd w:val="0"/>
        <w:snapToGrid w:val="0"/>
        <w:spacing w:beforeAutospacing="0" w:afterAutospacing="0" w:line="500" w:lineRule="exact"/>
        <w:ind w:firstLine="640" w:firstLineChars="200"/>
        <w:jc w:val="left"/>
        <w:textAlignment w:val="auto"/>
        <w:rPr>
          <w:rFonts w:hint="eastAsia"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rPr>
        <w:t>3.采购需求中若有进口产品，或者产品必须采取单一来源方式采购的，应当对进口产品或单一来源采购产品单独编报采购项目。</w:t>
      </w:r>
    </w:p>
    <w:p>
      <w:pPr>
        <w:keepNext w:val="0"/>
        <w:keepLines w:val="0"/>
        <w:pageBreakBefore w:val="0"/>
        <w:widowControl/>
        <w:kinsoku/>
        <w:wordWrap/>
        <w:overflowPunct/>
        <w:topLinePunct w:val="0"/>
        <w:autoSpaceDE/>
        <w:autoSpaceDN/>
        <w:bidi w:val="0"/>
        <w:adjustRightInd w:val="0"/>
        <w:snapToGrid w:val="0"/>
        <w:spacing w:beforeAutospacing="0" w:afterAutospacing="0" w:line="500" w:lineRule="exact"/>
        <w:ind w:firstLine="640" w:firstLineChars="200"/>
        <w:jc w:val="left"/>
        <w:textAlignment w:val="auto"/>
        <w:rPr>
          <w:rFonts w:hint="eastAsia" w:ascii="方正楷体_GBK" w:hAnsi="方正楷体_GBK" w:eastAsia="方正楷体_GBK" w:cs="方正楷体_GBK"/>
          <w:kern w:val="0"/>
          <w:sz w:val="32"/>
          <w:szCs w:val="32"/>
        </w:rPr>
      </w:pPr>
      <w:r>
        <w:rPr>
          <w:rFonts w:hint="eastAsia" w:ascii="方正楷体_GBK" w:hAnsi="方正楷体_GBK" w:eastAsia="方正楷体_GBK" w:cs="方正楷体_GBK"/>
          <w:kern w:val="0"/>
          <w:sz w:val="32"/>
          <w:szCs w:val="32"/>
        </w:rPr>
        <w:t>（二）归口管理部门审核与论证</w:t>
      </w:r>
    </w:p>
    <w:p>
      <w:pPr>
        <w:keepNext w:val="0"/>
        <w:keepLines w:val="0"/>
        <w:pageBreakBefore w:val="0"/>
        <w:widowControl/>
        <w:kinsoku/>
        <w:wordWrap/>
        <w:overflowPunct/>
        <w:topLinePunct w:val="0"/>
        <w:autoSpaceDE/>
        <w:autoSpaceDN/>
        <w:bidi w:val="0"/>
        <w:adjustRightInd w:val="0"/>
        <w:snapToGrid w:val="0"/>
        <w:spacing w:beforeAutospacing="0" w:afterAutospacing="0" w:line="500" w:lineRule="exact"/>
        <w:ind w:firstLine="640" w:firstLineChars="200"/>
        <w:jc w:val="left"/>
        <w:textAlignment w:val="auto"/>
        <w:rPr>
          <w:rFonts w:hint="eastAsia"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rPr>
        <w:t>各项目申报单位应于2022年8月1日前将2023年申报的预算30万元以上采购项目的项目方案（附件1）、采购项目需求调研表（附件2）、采购项目论证结论（意见）表（附件3）和单位会议记录等材料报送归口管理部门审核汇总。归口管理部门按《巢湖学院采购申报管理办法》有关规定确定（特别提醒：教学类项目由教务处归口管理，科研类项目由科技处归口管理，信息化建设类项目由信息化建设与管理处归口管理，工程类由后勤管理与基建处归口管理。）。归口管理部门应当认真履行审核职责，严格把关，并按照有关规定组织专家进行论证，根据论证结果提出是否同意立项的初步意见。各归口管理部门应当于2022年9月15日前完成2023年拟实施项目的论证并向各项目申报单位反馈是否同意立项的初步意见。对预算50万元以上的采购项目方案，归口管理部门应邀请分管校领导和相关部门参与论证或讨论。</w:t>
      </w:r>
    </w:p>
    <w:p>
      <w:pPr>
        <w:keepNext w:val="0"/>
        <w:keepLines w:val="0"/>
        <w:pageBreakBefore w:val="0"/>
        <w:widowControl/>
        <w:kinsoku/>
        <w:wordWrap/>
        <w:overflowPunct/>
        <w:topLinePunct w:val="0"/>
        <w:autoSpaceDE/>
        <w:autoSpaceDN/>
        <w:bidi w:val="0"/>
        <w:adjustRightInd w:val="0"/>
        <w:snapToGrid w:val="0"/>
        <w:spacing w:beforeAutospacing="0" w:afterAutospacing="0" w:line="500" w:lineRule="exact"/>
        <w:ind w:firstLine="640" w:firstLineChars="200"/>
        <w:jc w:val="left"/>
        <w:textAlignment w:val="auto"/>
        <w:rPr>
          <w:rFonts w:hint="eastAsia" w:ascii="方正楷体_GBK" w:hAnsi="方正楷体_GBK" w:eastAsia="方正楷体_GBK" w:cs="方正楷体_GBK"/>
          <w:kern w:val="0"/>
          <w:sz w:val="32"/>
          <w:szCs w:val="32"/>
        </w:rPr>
      </w:pPr>
      <w:r>
        <w:rPr>
          <w:rFonts w:hint="eastAsia" w:ascii="方正楷体_GBK" w:hAnsi="方正楷体_GBK" w:eastAsia="方正楷体_GBK" w:cs="方正楷体_GBK"/>
          <w:kern w:val="0"/>
          <w:sz w:val="32"/>
          <w:szCs w:val="32"/>
        </w:rPr>
        <w:t>（三）学校会议研究</w:t>
      </w:r>
    </w:p>
    <w:p>
      <w:pPr>
        <w:keepNext w:val="0"/>
        <w:keepLines w:val="0"/>
        <w:pageBreakBefore w:val="0"/>
        <w:widowControl/>
        <w:kinsoku/>
        <w:wordWrap/>
        <w:overflowPunct/>
        <w:topLinePunct w:val="0"/>
        <w:autoSpaceDE/>
        <w:autoSpaceDN/>
        <w:bidi w:val="0"/>
        <w:adjustRightInd w:val="0"/>
        <w:snapToGrid w:val="0"/>
        <w:spacing w:beforeAutospacing="0" w:afterAutospacing="0" w:line="500" w:lineRule="exact"/>
        <w:ind w:firstLine="640" w:firstLineChars="200"/>
        <w:jc w:val="left"/>
        <w:textAlignment w:val="auto"/>
        <w:rPr>
          <w:rFonts w:hint="eastAsia"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rPr>
        <w:t>归口管理部门应按照《巢湖学院“三重一大”决策制度实施办法》《巢湖学院校长办公会议议事规则》《中共巢湖学院委员会会议议事规则》的规定，将预算金额达到规定标准的采购项目方案提交校长办公会或校党委会研究，由校长办公会或党委会决定是否立项。</w:t>
      </w:r>
    </w:p>
    <w:p>
      <w:pPr>
        <w:keepNext w:val="0"/>
        <w:keepLines w:val="0"/>
        <w:pageBreakBefore w:val="0"/>
        <w:widowControl/>
        <w:kinsoku/>
        <w:wordWrap/>
        <w:overflowPunct/>
        <w:topLinePunct w:val="0"/>
        <w:autoSpaceDE/>
        <w:autoSpaceDN/>
        <w:bidi w:val="0"/>
        <w:adjustRightInd w:val="0"/>
        <w:snapToGrid w:val="0"/>
        <w:spacing w:beforeAutospacing="0" w:afterAutospacing="0" w:line="500" w:lineRule="exact"/>
        <w:ind w:firstLine="640" w:firstLineChars="200"/>
        <w:jc w:val="left"/>
        <w:textAlignment w:val="auto"/>
        <w:rPr>
          <w:rFonts w:hint="eastAsia" w:ascii="方正楷体_GBK" w:hAnsi="方正楷体_GBK" w:eastAsia="方正楷体_GBK" w:cs="方正楷体_GBK"/>
          <w:kern w:val="0"/>
          <w:sz w:val="32"/>
          <w:szCs w:val="32"/>
        </w:rPr>
      </w:pPr>
      <w:r>
        <w:rPr>
          <w:rFonts w:hint="eastAsia" w:ascii="方正楷体_GBK" w:hAnsi="方正楷体_GBK" w:eastAsia="方正楷体_GBK" w:cs="方正楷体_GBK"/>
          <w:kern w:val="0"/>
          <w:sz w:val="32"/>
          <w:szCs w:val="32"/>
        </w:rPr>
        <w:t>（四）2023年预算编报</w:t>
      </w:r>
    </w:p>
    <w:p>
      <w:pPr>
        <w:keepNext w:val="0"/>
        <w:keepLines w:val="0"/>
        <w:pageBreakBefore w:val="0"/>
        <w:widowControl/>
        <w:kinsoku/>
        <w:wordWrap/>
        <w:overflowPunct/>
        <w:topLinePunct w:val="0"/>
        <w:autoSpaceDE/>
        <w:autoSpaceDN/>
        <w:bidi w:val="0"/>
        <w:adjustRightInd w:val="0"/>
        <w:snapToGrid w:val="0"/>
        <w:spacing w:beforeAutospacing="0" w:afterAutospacing="0" w:line="500" w:lineRule="exact"/>
        <w:ind w:firstLine="640" w:firstLineChars="200"/>
        <w:jc w:val="left"/>
        <w:textAlignment w:val="auto"/>
        <w:rPr>
          <w:rFonts w:hint="eastAsia"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rPr>
        <w:t>财务处在下达编制2023年预算通知后，各单位根据学校会议研究同意立项的决定向财务处上报2023年项目采购预算，并按财务处的要求提供项目绩效目标等材料。采购项目预算经学校会议研究同意后执行。</w:t>
      </w:r>
    </w:p>
    <w:p>
      <w:pPr>
        <w:keepNext w:val="0"/>
        <w:keepLines w:val="0"/>
        <w:pageBreakBefore w:val="0"/>
        <w:widowControl/>
        <w:kinsoku/>
        <w:wordWrap/>
        <w:overflowPunct/>
        <w:topLinePunct w:val="0"/>
        <w:autoSpaceDE/>
        <w:autoSpaceDN/>
        <w:bidi w:val="0"/>
        <w:adjustRightInd w:val="0"/>
        <w:snapToGrid w:val="0"/>
        <w:spacing w:beforeAutospacing="0" w:afterAutospacing="0" w:line="500" w:lineRule="exact"/>
        <w:ind w:firstLine="640" w:firstLineChars="200"/>
        <w:jc w:val="left"/>
        <w:textAlignment w:val="auto"/>
        <w:rPr>
          <w:rFonts w:hint="eastAsia" w:ascii="方正楷体_GBK" w:hAnsi="方正楷体_GBK" w:eastAsia="方正楷体_GBK" w:cs="方正楷体_GBK"/>
          <w:kern w:val="0"/>
          <w:sz w:val="32"/>
          <w:szCs w:val="32"/>
        </w:rPr>
      </w:pPr>
      <w:r>
        <w:rPr>
          <w:rFonts w:hint="eastAsia" w:ascii="方正楷体_GBK" w:hAnsi="方正楷体_GBK" w:eastAsia="方正楷体_GBK" w:cs="方正楷体_GBK"/>
          <w:kern w:val="0"/>
          <w:sz w:val="32"/>
          <w:szCs w:val="32"/>
        </w:rPr>
        <w:t>（五）需求参数论证、审定与报送</w:t>
      </w:r>
    </w:p>
    <w:p>
      <w:pPr>
        <w:keepNext w:val="0"/>
        <w:keepLines w:val="0"/>
        <w:pageBreakBefore w:val="0"/>
        <w:widowControl/>
        <w:kinsoku/>
        <w:wordWrap/>
        <w:overflowPunct/>
        <w:topLinePunct w:val="0"/>
        <w:autoSpaceDE/>
        <w:autoSpaceDN/>
        <w:bidi w:val="0"/>
        <w:adjustRightInd w:val="0"/>
        <w:snapToGrid w:val="0"/>
        <w:spacing w:beforeAutospacing="0" w:afterAutospacing="0" w:line="500" w:lineRule="exact"/>
        <w:ind w:firstLine="640" w:firstLineChars="200"/>
        <w:jc w:val="left"/>
        <w:textAlignment w:val="auto"/>
        <w:rPr>
          <w:rFonts w:hint="eastAsia"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rPr>
        <w:t>预算批复后，各单位对2023年立项建设的项目需在进一步细化采购需求与参数的基础上，对需求与参数组织论证和会议审定，并填报项目申报书，按学校招标采购管理有关规定经归口管理部门和校领导审核签字后报国有资产管理处。各项目单位向国有资产管理处报送项目申报书的时间不得迟于2023年2月底。</w:t>
      </w:r>
    </w:p>
    <w:p>
      <w:pPr>
        <w:keepNext w:val="0"/>
        <w:keepLines w:val="0"/>
        <w:pageBreakBefore w:val="0"/>
        <w:widowControl/>
        <w:kinsoku/>
        <w:wordWrap/>
        <w:overflowPunct/>
        <w:topLinePunct w:val="0"/>
        <w:autoSpaceDE/>
        <w:autoSpaceDN/>
        <w:bidi w:val="0"/>
        <w:adjustRightInd w:val="0"/>
        <w:snapToGrid w:val="0"/>
        <w:spacing w:beforeAutospacing="0" w:afterAutospacing="0" w:line="500" w:lineRule="exact"/>
        <w:ind w:firstLine="640" w:firstLineChars="200"/>
        <w:jc w:val="left"/>
        <w:textAlignment w:val="auto"/>
        <w:rPr>
          <w:rFonts w:hint="eastAsia" w:ascii="方正仿宋_GBK" w:hAnsi="方正仿宋_GBK" w:eastAsia="方正仿宋_GBK" w:cs="方正仿宋_GBK"/>
          <w:kern w:val="0"/>
          <w:sz w:val="32"/>
          <w:szCs w:val="32"/>
        </w:rPr>
      </w:pPr>
      <w:r>
        <w:rPr>
          <w:rFonts w:hint="eastAsia" w:ascii="方正黑体_GBK" w:hAnsi="方正黑体_GBK" w:eastAsia="方正黑体_GBK" w:cs="方正黑体_GBK"/>
          <w:kern w:val="0"/>
          <w:sz w:val="32"/>
          <w:szCs w:val="32"/>
        </w:rPr>
        <w:t>二、科研（教研）设备采购申报</w:t>
      </w:r>
    </w:p>
    <w:p>
      <w:pPr>
        <w:keepNext w:val="0"/>
        <w:keepLines w:val="0"/>
        <w:pageBreakBefore w:val="0"/>
        <w:widowControl/>
        <w:kinsoku/>
        <w:wordWrap/>
        <w:overflowPunct/>
        <w:topLinePunct w:val="0"/>
        <w:autoSpaceDE/>
        <w:autoSpaceDN/>
        <w:bidi w:val="0"/>
        <w:adjustRightInd w:val="0"/>
        <w:snapToGrid w:val="0"/>
        <w:spacing w:beforeAutospacing="0" w:afterAutospacing="0" w:line="500" w:lineRule="exact"/>
        <w:ind w:firstLine="640" w:firstLineChars="200"/>
        <w:jc w:val="left"/>
        <w:textAlignment w:val="auto"/>
        <w:rPr>
          <w:rFonts w:hint="eastAsia"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rPr>
        <w:t>学校教职工利用科研、教研项目经费和人才项目科研启动经费采购货物与服务的，应分别向科技处、教务处、人事处申报，并由科技处、教务处、人事处按《巢湖学院科研设备采购管理办法（试行）》（校字〔2018〕145号）和《巢湖学院本科教学质量与教学改革工程项目管理办法（修订）》（校字〔2019〕124号）的规定确定采购方式（自行采购或集中采购）。需要集中采购的，应分别由科技处、教务处或人事处审核汇总并按采购项目申报管理的有关规定执行。</w:t>
      </w:r>
    </w:p>
    <w:p>
      <w:pPr>
        <w:keepNext w:val="0"/>
        <w:keepLines w:val="0"/>
        <w:pageBreakBefore w:val="0"/>
        <w:widowControl/>
        <w:kinsoku/>
        <w:wordWrap/>
        <w:overflowPunct/>
        <w:topLinePunct w:val="0"/>
        <w:autoSpaceDE/>
        <w:autoSpaceDN/>
        <w:bidi w:val="0"/>
        <w:adjustRightInd w:val="0"/>
        <w:snapToGrid w:val="0"/>
        <w:spacing w:beforeAutospacing="0" w:afterAutospacing="0" w:line="500" w:lineRule="exact"/>
        <w:ind w:firstLine="640" w:firstLineChars="200"/>
        <w:jc w:val="left"/>
        <w:textAlignment w:val="auto"/>
        <w:rPr>
          <w:rFonts w:hint="eastAsia" w:ascii="方正黑体_GBK" w:hAnsi="方正黑体_GBK" w:eastAsia="方正黑体_GBK" w:cs="方正黑体_GBK"/>
          <w:kern w:val="0"/>
          <w:sz w:val="32"/>
          <w:szCs w:val="32"/>
        </w:rPr>
      </w:pPr>
      <w:r>
        <w:rPr>
          <w:rFonts w:hint="eastAsia" w:ascii="方正黑体_GBK" w:hAnsi="方正黑体_GBK" w:eastAsia="方正黑体_GBK" w:cs="方正黑体_GBK"/>
          <w:kern w:val="0"/>
          <w:sz w:val="32"/>
          <w:szCs w:val="32"/>
        </w:rPr>
        <w:t>三、行政办公设备与家具采购申报</w:t>
      </w:r>
    </w:p>
    <w:p>
      <w:pPr>
        <w:keepNext w:val="0"/>
        <w:keepLines w:val="0"/>
        <w:pageBreakBefore w:val="0"/>
        <w:widowControl/>
        <w:kinsoku/>
        <w:wordWrap/>
        <w:overflowPunct/>
        <w:topLinePunct w:val="0"/>
        <w:autoSpaceDE/>
        <w:autoSpaceDN/>
        <w:bidi w:val="0"/>
        <w:adjustRightInd w:val="0"/>
        <w:snapToGrid w:val="0"/>
        <w:spacing w:beforeAutospacing="0" w:afterAutospacing="0" w:line="500" w:lineRule="exact"/>
        <w:ind w:firstLine="640" w:firstLineChars="200"/>
        <w:jc w:val="left"/>
        <w:textAlignment w:val="auto"/>
        <w:rPr>
          <w:rFonts w:hint="eastAsia"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rPr>
        <w:t>2023年行政办公设备与办公家具由校办公室根据财务处的要求分别编报办公设备与办公家具采购预算。各单位需要配置办公设备与办公家具的，应当向校办公室申报，由校办公室审核并经校长同意后执行。</w:t>
      </w:r>
    </w:p>
    <w:p>
      <w:pPr>
        <w:keepNext w:val="0"/>
        <w:keepLines w:val="0"/>
        <w:pageBreakBefore w:val="0"/>
        <w:widowControl/>
        <w:kinsoku/>
        <w:wordWrap/>
        <w:overflowPunct/>
        <w:topLinePunct w:val="0"/>
        <w:autoSpaceDE/>
        <w:autoSpaceDN/>
        <w:bidi w:val="0"/>
        <w:adjustRightInd w:val="0"/>
        <w:snapToGrid w:val="0"/>
        <w:spacing w:beforeAutospacing="0" w:afterAutospacing="0" w:line="500" w:lineRule="exact"/>
        <w:ind w:firstLine="640" w:firstLineChars="200"/>
        <w:jc w:val="left"/>
        <w:textAlignment w:val="auto"/>
        <w:rPr>
          <w:rFonts w:hint="eastAsia" w:ascii="方正黑体_GBK" w:hAnsi="方正黑体_GBK" w:eastAsia="方正黑体_GBK" w:cs="方正黑体_GBK"/>
          <w:kern w:val="0"/>
          <w:sz w:val="32"/>
          <w:szCs w:val="32"/>
        </w:rPr>
      </w:pPr>
      <w:r>
        <w:rPr>
          <w:rFonts w:hint="eastAsia" w:ascii="方正黑体_GBK" w:hAnsi="方正黑体_GBK" w:eastAsia="方正黑体_GBK" w:cs="方正黑体_GBK"/>
          <w:kern w:val="0"/>
          <w:sz w:val="32"/>
          <w:szCs w:val="32"/>
        </w:rPr>
        <w:t>四、教学类低值易耗品采购申报</w:t>
      </w:r>
    </w:p>
    <w:p>
      <w:pPr>
        <w:keepNext w:val="0"/>
        <w:keepLines w:val="0"/>
        <w:pageBreakBefore w:val="0"/>
        <w:widowControl/>
        <w:kinsoku/>
        <w:wordWrap/>
        <w:overflowPunct/>
        <w:topLinePunct w:val="0"/>
        <w:autoSpaceDE/>
        <w:autoSpaceDN/>
        <w:bidi w:val="0"/>
        <w:adjustRightInd w:val="0"/>
        <w:snapToGrid w:val="0"/>
        <w:spacing w:beforeAutospacing="0" w:afterAutospacing="0" w:line="500" w:lineRule="exact"/>
        <w:ind w:firstLine="640" w:firstLineChars="200"/>
        <w:jc w:val="left"/>
        <w:textAlignment w:val="auto"/>
        <w:rPr>
          <w:rFonts w:hint="eastAsia"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rPr>
        <w:t>各教学单位需要集中采购教学低值易耗品的，应当编报教学低值易耗品采购预算，并在每学期开学前两个月向国有资产管理处报送采购需求（含采购品种、规格型号或技术参数、采购数量）。若因特殊用途等原因需要采购指定产品的，需对指定产品单独申报采购项目。</w:t>
      </w:r>
    </w:p>
    <w:p>
      <w:pPr>
        <w:keepNext w:val="0"/>
        <w:keepLines w:val="0"/>
        <w:pageBreakBefore w:val="0"/>
        <w:kinsoku/>
        <w:wordWrap/>
        <w:overflowPunct/>
        <w:topLinePunct w:val="0"/>
        <w:autoSpaceDE/>
        <w:autoSpaceDN/>
        <w:bidi w:val="0"/>
        <w:adjustRightInd w:val="0"/>
        <w:snapToGrid w:val="0"/>
        <w:spacing w:beforeAutospacing="0" w:afterAutospacing="0" w:line="500" w:lineRule="exact"/>
        <w:ind w:firstLine="640" w:firstLineChars="200"/>
        <w:textAlignment w:val="auto"/>
        <w:rPr>
          <w:rFonts w:hint="eastAsia" w:ascii="方正仿宋_GBK" w:hAnsi="方正仿宋_GBK" w:eastAsia="方正仿宋_GBK" w:cs="方正仿宋_GBK"/>
          <w:kern w:val="0"/>
          <w:sz w:val="32"/>
          <w:szCs w:val="32"/>
        </w:rPr>
      </w:pPr>
      <w:bookmarkStart w:id="0" w:name="_GoBack"/>
      <w:bookmarkEnd w:id="0"/>
      <w:r>
        <w:rPr>
          <w:rFonts w:hint="eastAsia" w:ascii="方正仿宋_GBK" w:hAnsi="方正仿宋_GBK" w:eastAsia="方正仿宋_GBK" w:cs="方正仿宋_GBK"/>
          <w:kern w:val="0"/>
          <w:sz w:val="32"/>
          <w:szCs w:val="32"/>
        </w:rPr>
        <w:t>除政府采购项目和教学低值易耗品与办公家具采购外，各单位在2023年需要采购其他货物、服务与工程项目的，应提前制订本单位2023年采购计划，参照政府采购项目履行论证、立项审批的有关程序，并按财务处的要求编报预算，同时做好采购需求与参数的编制工作。各单位应在财务处下达预算文件后及时将采购需求与参数报送国有资产管理处。</w:t>
      </w:r>
    </w:p>
    <w:p>
      <w:pPr>
        <w:keepNext w:val="0"/>
        <w:keepLines w:val="0"/>
        <w:pageBreakBefore w:val="0"/>
        <w:kinsoku/>
        <w:wordWrap/>
        <w:overflowPunct/>
        <w:topLinePunct w:val="0"/>
        <w:autoSpaceDE/>
        <w:autoSpaceDN/>
        <w:bidi w:val="0"/>
        <w:adjustRightInd w:val="0"/>
        <w:snapToGrid w:val="0"/>
        <w:spacing w:beforeAutospacing="0" w:afterAutospacing="0" w:line="500" w:lineRule="exact"/>
        <w:ind w:firstLine="640" w:firstLineChars="200"/>
        <w:textAlignment w:val="auto"/>
        <w:rPr>
          <w:rFonts w:hint="eastAsia" w:ascii="方正仿宋_GBK" w:hAnsi="方正仿宋_GBK" w:eastAsia="方正仿宋_GBK" w:cs="方正仿宋_GBK"/>
          <w:kern w:val="0"/>
          <w:sz w:val="32"/>
          <w:szCs w:val="32"/>
        </w:rPr>
      </w:pPr>
    </w:p>
    <w:p>
      <w:pPr>
        <w:keepNext w:val="0"/>
        <w:keepLines w:val="0"/>
        <w:pageBreakBefore w:val="0"/>
        <w:kinsoku/>
        <w:wordWrap/>
        <w:overflowPunct/>
        <w:topLinePunct w:val="0"/>
        <w:autoSpaceDE/>
        <w:autoSpaceDN/>
        <w:bidi w:val="0"/>
        <w:adjustRightInd w:val="0"/>
        <w:snapToGrid w:val="0"/>
        <w:spacing w:beforeAutospacing="0" w:afterAutospacing="0" w:line="500" w:lineRule="exact"/>
        <w:ind w:firstLine="640" w:firstLineChars="200"/>
        <w:textAlignment w:val="auto"/>
        <w:rPr>
          <w:rFonts w:hint="eastAsia" w:ascii="方正仿宋_GBK" w:hAnsi="方正仿宋_GBK" w:eastAsia="方正仿宋_GBK" w:cs="方正仿宋_GBK"/>
          <w:kern w:val="0"/>
          <w:sz w:val="32"/>
          <w:szCs w:val="32"/>
        </w:rPr>
      </w:pPr>
    </w:p>
    <w:p>
      <w:pPr>
        <w:keepNext w:val="0"/>
        <w:keepLines w:val="0"/>
        <w:pageBreakBefore w:val="0"/>
        <w:kinsoku/>
        <w:wordWrap/>
        <w:overflowPunct/>
        <w:topLinePunct w:val="0"/>
        <w:autoSpaceDE/>
        <w:autoSpaceDN/>
        <w:bidi w:val="0"/>
        <w:adjustRightInd w:val="0"/>
        <w:snapToGrid w:val="0"/>
        <w:spacing w:beforeAutospacing="0" w:afterAutospacing="0" w:line="500" w:lineRule="exact"/>
        <w:ind w:firstLine="640" w:firstLineChars="200"/>
        <w:textAlignment w:val="auto"/>
        <w:rPr>
          <w:rFonts w:hint="eastAsia"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rPr>
        <w:t xml:space="preserve">                         </w:t>
      </w:r>
      <w:r>
        <w:rPr>
          <w:rFonts w:hint="eastAsia" w:ascii="方正仿宋_GBK" w:hAnsi="方正仿宋_GBK" w:eastAsia="方正仿宋_GBK" w:cs="方正仿宋_GBK"/>
          <w:kern w:val="0"/>
          <w:sz w:val="32"/>
          <w:szCs w:val="32"/>
          <w:lang w:val="en-US" w:eastAsia="zh-CN"/>
        </w:rPr>
        <w:t xml:space="preserve"> </w:t>
      </w:r>
      <w:r>
        <w:rPr>
          <w:rFonts w:hint="eastAsia" w:ascii="方正仿宋_GBK" w:hAnsi="方正仿宋_GBK" w:eastAsia="方正仿宋_GBK" w:cs="方正仿宋_GBK"/>
          <w:kern w:val="0"/>
          <w:sz w:val="32"/>
          <w:szCs w:val="32"/>
        </w:rPr>
        <w:t>国有资产管理处</w:t>
      </w:r>
    </w:p>
    <w:p>
      <w:pPr>
        <w:keepNext w:val="0"/>
        <w:keepLines w:val="0"/>
        <w:pageBreakBefore w:val="0"/>
        <w:kinsoku/>
        <w:wordWrap/>
        <w:overflowPunct/>
        <w:topLinePunct w:val="0"/>
        <w:autoSpaceDE/>
        <w:autoSpaceDN/>
        <w:bidi w:val="0"/>
        <w:adjustRightInd w:val="0"/>
        <w:snapToGrid w:val="0"/>
        <w:spacing w:beforeAutospacing="0" w:afterAutospacing="0" w:line="50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kern w:val="0"/>
          <w:sz w:val="32"/>
          <w:szCs w:val="32"/>
        </w:rPr>
        <w:t xml:space="preserve">                         2022年5月16日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BkYjJjZDU2ZWJjZWRkYmJkMDBkN2EwMWY4N2QwNmIifQ=="/>
  </w:docVars>
  <w:rsids>
    <w:rsidRoot w:val="00432B87"/>
    <w:rsid w:val="000F20FC"/>
    <w:rsid w:val="00182785"/>
    <w:rsid w:val="0018294C"/>
    <w:rsid w:val="00195348"/>
    <w:rsid w:val="001C4E83"/>
    <w:rsid w:val="00305F04"/>
    <w:rsid w:val="00373548"/>
    <w:rsid w:val="003C2D97"/>
    <w:rsid w:val="00403FFC"/>
    <w:rsid w:val="00432B87"/>
    <w:rsid w:val="00462702"/>
    <w:rsid w:val="004E29ED"/>
    <w:rsid w:val="004E45EC"/>
    <w:rsid w:val="005F79AA"/>
    <w:rsid w:val="00692A2D"/>
    <w:rsid w:val="007D319F"/>
    <w:rsid w:val="00845216"/>
    <w:rsid w:val="008C0FA8"/>
    <w:rsid w:val="00946762"/>
    <w:rsid w:val="00981F5B"/>
    <w:rsid w:val="00A309D6"/>
    <w:rsid w:val="00A71A35"/>
    <w:rsid w:val="00A93A74"/>
    <w:rsid w:val="00B73F02"/>
    <w:rsid w:val="00C20187"/>
    <w:rsid w:val="00D1070D"/>
    <w:rsid w:val="00F12F7B"/>
    <w:rsid w:val="00F20CE2"/>
    <w:rsid w:val="254869C0"/>
    <w:rsid w:val="3E130EDE"/>
    <w:rsid w:val="773D68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